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99E" w:rsidRPr="002D0DD0" w:rsidRDefault="004F399E" w:rsidP="004F399E">
      <w:pPr>
        <w:widowControl w:val="0"/>
        <w:numPr>
          <w:ilvl w:val="0"/>
          <w:numId w:val="2"/>
        </w:numPr>
        <w:autoSpaceDE w:val="0"/>
        <w:autoSpaceDN w:val="0"/>
        <w:adjustRightInd w:val="0"/>
        <w:rPr>
          <w:b/>
          <w:sz w:val="20"/>
          <w:szCs w:val="20"/>
          <w:lang w:val="en-US"/>
        </w:rPr>
      </w:pPr>
      <w:r w:rsidRPr="002D0DD0">
        <w:rPr>
          <w:b/>
          <w:sz w:val="20"/>
          <w:szCs w:val="20"/>
          <w:lang w:val="en-US"/>
        </w:rPr>
        <w:t>Hasil Analisis Data SPSS</w:t>
      </w: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Validitas Reliabilias Skala Komitmen Organisasi Sebelum Tryout</w:t>
      </w:r>
    </w:p>
    <w:p w:rsidR="004F399E" w:rsidRDefault="004F399E" w:rsidP="004F399E">
      <w:pPr>
        <w:widowControl w:val="0"/>
        <w:autoSpaceDE w:val="0"/>
        <w:autoSpaceDN w:val="0"/>
        <w:adjustRightInd w:val="0"/>
        <w:ind w:left="1080"/>
        <w:rPr>
          <w:b/>
          <w:sz w:val="20"/>
          <w:szCs w:val="20"/>
          <w:lang w:val="en-US"/>
        </w:rPr>
      </w:pPr>
      <w:r w:rsidRPr="00841488">
        <w:rPr>
          <w:b/>
          <w:sz w:val="20"/>
          <w:szCs w:val="20"/>
          <w:lang w:val="en-US"/>
        </w:rPr>
        <w:t>Reliability Statistics</w:t>
      </w:r>
    </w:p>
    <w:tbl>
      <w:tblPr>
        <w:tblW w:w="2081" w:type="dxa"/>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960"/>
      </w:tblGrid>
      <w:tr w:rsidR="004F399E" w:rsidRPr="002055DB" w:rsidTr="00AF357C">
        <w:trPr>
          <w:trHeight w:val="495"/>
        </w:trPr>
        <w:tc>
          <w:tcPr>
            <w:tcW w:w="1121" w:type="dxa"/>
            <w:shd w:val="clear" w:color="auto" w:fill="auto"/>
            <w:vAlign w:val="bottom"/>
            <w:hideMark/>
          </w:tcPr>
          <w:p w:rsidR="004F399E" w:rsidRPr="002055DB" w:rsidRDefault="004F399E" w:rsidP="00AF357C">
            <w:pPr>
              <w:suppressAutoHyphens w:val="0"/>
              <w:jc w:val="center"/>
              <w:rPr>
                <w:sz w:val="20"/>
                <w:szCs w:val="20"/>
                <w:lang w:val="en-US" w:eastAsia="en-US"/>
              </w:rPr>
            </w:pPr>
            <w:r w:rsidRPr="002055DB">
              <w:rPr>
                <w:sz w:val="20"/>
                <w:szCs w:val="20"/>
                <w:lang w:val="en-US" w:eastAsia="en-US"/>
              </w:rPr>
              <w:t>Cronbach's Alpha</w:t>
            </w:r>
          </w:p>
        </w:tc>
        <w:tc>
          <w:tcPr>
            <w:tcW w:w="960" w:type="dxa"/>
            <w:shd w:val="clear" w:color="auto" w:fill="auto"/>
            <w:vAlign w:val="bottom"/>
            <w:hideMark/>
          </w:tcPr>
          <w:p w:rsidR="004F399E" w:rsidRPr="002055DB" w:rsidRDefault="004F399E" w:rsidP="00AF357C">
            <w:pPr>
              <w:suppressAutoHyphens w:val="0"/>
              <w:jc w:val="center"/>
              <w:rPr>
                <w:sz w:val="20"/>
                <w:szCs w:val="20"/>
                <w:lang w:val="en-US" w:eastAsia="en-US"/>
              </w:rPr>
            </w:pPr>
            <w:r w:rsidRPr="002055DB">
              <w:rPr>
                <w:sz w:val="20"/>
                <w:szCs w:val="20"/>
                <w:lang w:val="en-US" w:eastAsia="en-US"/>
              </w:rPr>
              <w:t>N of Items</w:t>
            </w:r>
          </w:p>
        </w:tc>
      </w:tr>
      <w:tr w:rsidR="004F399E" w:rsidRPr="002055DB" w:rsidTr="00AF357C">
        <w:trPr>
          <w:trHeight w:val="300"/>
        </w:trPr>
        <w:tc>
          <w:tcPr>
            <w:tcW w:w="1121" w:type="dxa"/>
            <w:shd w:val="clear" w:color="auto" w:fill="auto"/>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0.701</w:t>
            </w:r>
          </w:p>
        </w:tc>
        <w:tc>
          <w:tcPr>
            <w:tcW w:w="960" w:type="dxa"/>
            <w:shd w:val="clear" w:color="auto" w:fill="auto"/>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28</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autoSpaceDE w:val="0"/>
        <w:autoSpaceDN w:val="0"/>
        <w:adjustRightInd w:val="0"/>
        <w:ind w:left="1080"/>
        <w:rPr>
          <w:b/>
          <w:sz w:val="20"/>
          <w:szCs w:val="20"/>
          <w:lang w:val="en-US"/>
        </w:rPr>
      </w:pPr>
      <w:r w:rsidRPr="00B75E85">
        <w:rPr>
          <w:b/>
          <w:sz w:val="20"/>
          <w:szCs w:val="20"/>
          <w:lang w:val="en-US"/>
        </w:rPr>
        <w:t>Item-Total Statistics</w:t>
      </w:r>
    </w:p>
    <w:tbl>
      <w:tblPr>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19"/>
        <w:gridCol w:w="1241"/>
        <w:gridCol w:w="1907"/>
      </w:tblGrid>
      <w:tr w:rsidR="004F399E" w:rsidRPr="00AD7224" w:rsidTr="00AF357C">
        <w:trPr>
          <w:trHeight w:val="300"/>
        </w:trPr>
        <w:tc>
          <w:tcPr>
            <w:tcW w:w="677" w:type="dxa"/>
            <w:shd w:val="clear" w:color="auto" w:fill="FFFFFF"/>
            <w:vAlign w:val="bottom"/>
            <w:hideMark/>
          </w:tcPr>
          <w:p w:rsidR="004F399E" w:rsidRPr="00AD7224" w:rsidRDefault="004F399E" w:rsidP="00AF357C">
            <w:pPr>
              <w:ind w:left="114"/>
              <w:rPr>
                <w:sz w:val="20"/>
                <w:szCs w:val="20"/>
              </w:rPr>
            </w:pPr>
            <w:r w:rsidRPr="00AD7224">
              <w:rPr>
                <w:sz w:val="20"/>
                <w:szCs w:val="20"/>
              </w:rPr>
              <w:t> </w:t>
            </w:r>
          </w:p>
        </w:tc>
        <w:tc>
          <w:tcPr>
            <w:tcW w:w="1097" w:type="dxa"/>
            <w:shd w:val="clear" w:color="auto" w:fill="FFFFFF"/>
            <w:noWrap/>
            <w:vAlign w:val="bottom"/>
            <w:hideMark/>
          </w:tcPr>
          <w:p w:rsidR="004F399E" w:rsidRPr="00AD7224" w:rsidRDefault="004F399E" w:rsidP="00AF357C">
            <w:pPr>
              <w:ind w:left="114"/>
              <w:jc w:val="center"/>
              <w:rPr>
                <w:sz w:val="20"/>
                <w:szCs w:val="20"/>
              </w:rPr>
            </w:pPr>
            <w:r w:rsidRPr="00AD7224">
              <w:rPr>
                <w:sz w:val="20"/>
                <w:szCs w:val="20"/>
              </w:rPr>
              <w:t>Corrected Item-Total Correlation</w:t>
            </w:r>
          </w:p>
        </w:tc>
        <w:tc>
          <w:tcPr>
            <w:tcW w:w="1907" w:type="dxa"/>
            <w:shd w:val="clear" w:color="auto" w:fill="FFFFFF"/>
            <w:noWrap/>
            <w:vAlign w:val="bottom"/>
            <w:hideMark/>
          </w:tcPr>
          <w:p w:rsidR="004F399E" w:rsidRPr="00AD7224" w:rsidRDefault="004F399E" w:rsidP="00AF357C">
            <w:pPr>
              <w:ind w:left="114"/>
              <w:jc w:val="center"/>
              <w:rPr>
                <w:sz w:val="20"/>
                <w:szCs w:val="20"/>
              </w:rPr>
            </w:pPr>
          </w:p>
        </w:tc>
      </w:tr>
      <w:tr w:rsidR="004F399E" w:rsidRPr="00AD7224" w:rsidTr="00AF357C">
        <w:trPr>
          <w:trHeight w:val="296"/>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KO01</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0.603</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KO17</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0.525</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KO18</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0.500</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KO04</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0.499</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288"/>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KO19</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0.475</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KO06</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0.451</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KO07</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0.449</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KO08</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0.427</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KO21</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0.420</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KO10</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0.389</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KO11</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0.381</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KO12</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0.362</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KO13</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0.331</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KO14</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0.324</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KO25</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0.280</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KO16</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0.268</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KO02</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0.228</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KO03</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0.153</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KO05</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0.136</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KO20</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0.132</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KO09</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0.110</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KO22</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0.061</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KO23</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0.054</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KO24</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0.031</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KO15</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-0.043</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KO26</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-0.137</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KO27</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-0.224</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r w:rsidR="004F399E" w:rsidRPr="00AD7224" w:rsidTr="00AF357C">
        <w:trPr>
          <w:trHeight w:val="300"/>
        </w:trPr>
        <w:tc>
          <w:tcPr>
            <w:tcW w:w="677" w:type="dxa"/>
            <w:shd w:val="clear" w:color="auto" w:fill="FFFFFF"/>
            <w:hideMark/>
          </w:tcPr>
          <w:p w:rsidR="004F399E" w:rsidRPr="00AD7224" w:rsidRDefault="004F399E" w:rsidP="00AF357C">
            <w:pPr>
              <w:ind w:left="114"/>
              <w:rPr>
                <w:sz w:val="20"/>
                <w:szCs w:val="20"/>
              </w:rPr>
            </w:pPr>
            <w:r w:rsidRPr="00AD7224">
              <w:rPr>
                <w:sz w:val="20"/>
                <w:szCs w:val="20"/>
              </w:rPr>
              <w:t>KO28</w:t>
            </w:r>
          </w:p>
        </w:tc>
        <w:tc>
          <w:tcPr>
            <w:tcW w:w="1097" w:type="dxa"/>
            <w:shd w:val="clear" w:color="auto" w:fill="FFFFFF"/>
            <w:noWrap/>
            <w:hideMark/>
          </w:tcPr>
          <w:p w:rsidR="004F399E" w:rsidRPr="00AD7224" w:rsidRDefault="004F399E" w:rsidP="00AF357C">
            <w:pPr>
              <w:ind w:left="114"/>
              <w:jc w:val="right"/>
              <w:rPr>
                <w:sz w:val="20"/>
                <w:szCs w:val="20"/>
              </w:rPr>
            </w:pPr>
            <w:r w:rsidRPr="00AD7224">
              <w:rPr>
                <w:sz w:val="20"/>
                <w:szCs w:val="20"/>
              </w:rPr>
              <w:t>-0.421</w:t>
            </w:r>
          </w:p>
        </w:tc>
        <w:tc>
          <w:tcPr>
            <w:tcW w:w="1907" w:type="dxa"/>
            <w:shd w:val="clear" w:color="auto" w:fill="FFFFFF"/>
            <w:noWrap/>
            <w:vAlign w:val="bottom"/>
            <w:hideMark/>
          </w:tcPr>
          <w:p w:rsidR="004F399E" w:rsidRPr="00AD7224" w:rsidRDefault="004F399E" w:rsidP="00AF357C">
            <w:pPr>
              <w:ind w:left="114"/>
              <w:rPr>
                <w:sz w:val="20"/>
                <w:szCs w:val="20"/>
              </w:rPr>
            </w:pPr>
            <w:r w:rsidRPr="00AD7224">
              <w:rPr>
                <w:sz w:val="20"/>
                <w:szCs w:val="20"/>
              </w:rPr>
              <w:t>TIDAK VALID</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Validitas Reliabilias Skala Komitmen Organisasi Sesudah Tryout</w:t>
      </w:r>
    </w:p>
    <w:p w:rsidR="004F399E" w:rsidRDefault="004F399E" w:rsidP="004F399E">
      <w:pPr>
        <w:widowControl w:val="0"/>
        <w:autoSpaceDE w:val="0"/>
        <w:autoSpaceDN w:val="0"/>
        <w:adjustRightInd w:val="0"/>
        <w:ind w:left="1080"/>
        <w:rPr>
          <w:b/>
          <w:sz w:val="20"/>
          <w:szCs w:val="20"/>
          <w:lang w:val="en-US"/>
        </w:rPr>
      </w:pPr>
      <w:r w:rsidRPr="00841488">
        <w:rPr>
          <w:b/>
          <w:sz w:val="20"/>
          <w:szCs w:val="20"/>
          <w:lang w:val="en-US"/>
        </w:rPr>
        <w:t>Reliability Statistics</w:t>
      </w:r>
    </w:p>
    <w:tbl>
      <w:tblPr>
        <w:tblW w:w="2081" w:type="dxa"/>
        <w:tblInd w:w="1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960"/>
      </w:tblGrid>
      <w:tr w:rsidR="004F399E" w:rsidRPr="002055DB" w:rsidTr="00AF357C">
        <w:trPr>
          <w:trHeight w:val="495"/>
        </w:trPr>
        <w:tc>
          <w:tcPr>
            <w:tcW w:w="1121" w:type="dxa"/>
            <w:shd w:val="clear" w:color="auto" w:fill="auto"/>
            <w:vAlign w:val="bottom"/>
            <w:hideMark/>
          </w:tcPr>
          <w:p w:rsidR="004F399E" w:rsidRPr="002055DB" w:rsidRDefault="004F399E" w:rsidP="00AF357C">
            <w:pPr>
              <w:suppressAutoHyphens w:val="0"/>
              <w:jc w:val="center"/>
              <w:rPr>
                <w:sz w:val="20"/>
                <w:szCs w:val="20"/>
                <w:lang w:val="en-US" w:eastAsia="en-US"/>
              </w:rPr>
            </w:pPr>
            <w:r w:rsidRPr="002055DB">
              <w:rPr>
                <w:sz w:val="20"/>
                <w:szCs w:val="20"/>
                <w:lang w:val="en-US" w:eastAsia="en-US"/>
              </w:rPr>
              <w:t>Cronbach's Alpha</w:t>
            </w:r>
          </w:p>
        </w:tc>
        <w:tc>
          <w:tcPr>
            <w:tcW w:w="960" w:type="dxa"/>
            <w:shd w:val="clear" w:color="auto" w:fill="auto"/>
            <w:noWrap/>
            <w:vAlign w:val="bottom"/>
            <w:hideMark/>
          </w:tcPr>
          <w:p w:rsidR="004F399E" w:rsidRPr="002055DB" w:rsidRDefault="004F399E" w:rsidP="00AF357C">
            <w:pPr>
              <w:suppressAutoHyphens w:val="0"/>
              <w:jc w:val="center"/>
              <w:rPr>
                <w:sz w:val="20"/>
                <w:szCs w:val="20"/>
                <w:lang w:val="en-US" w:eastAsia="en-US"/>
              </w:rPr>
            </w:pPr>
            <w:r w:rsidRPr="002055DB">
              <w:rPr>
                <w:sz w:val="20"/>
                <w:szCs w:val="20"/>
                <w:lang w:val="en-US" w:eastAsia="en-US"/>
              </w:rPr>
              <w:t>N of Item</w:t>
            </w:r>
          </w:p>
        </w:tc>
      </w:tr>
      <w:tr w:rsidR="004F399E" w:rsidRPr="002055DB" w:rsidTr="00AF357C">
        <w:trPr>
          <w:trHeight w:val="300"/>
        </w:trPr>
        <w:tc>
          <w:tcPr>
            <w:tcW w:w="1121" w:type="dxa"/>
            <w:shd w:val="clear" w:color="auto" w:fill="auto"/>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0.843</w:t>
            </w:r>
          </w:p>
        </w:tc>
        <w:tc>
          <w:tcPr>
            <w:tcW w:w="960" w:type="dxa"/>
            <w:shd w:val="clear" w:color="auto" w:fill="auto"/>
            <w:noWrap/>
            <w:vAlign w:val="bottom"/>
            <w:hideMark/>
          </w:tcPr>
          <w:p w:rsidR="004F399E" w:rsidRPr="002055DB" w:rsidRDefault="004F399E" w:rsidP="00AF357C">
            <w:pPr>
              <w:suppressAutoHyphens w:val="0"/>
              <w:jc w:val="right"/>
              <w:rPr>
                <w:sz w:val="20"/>
                <w:szCs w:val="20"/>
                <w:lang w:val="en-US" w:eastAsia="en-US"/>
              </w:rPr>
            </w:pPr>
          </w:p>
        </w:tc>
      </w:tr>
    </w:tbl>
    <w:p w:rsidR="004F399E" w:rsidRPr="00B75E85" w:rsidRDefault="004F399E" w:rsidP="004F399E">
      <w:pPr>
        <w:widowControl w:val="0"/>
        <w:autoSpaceDE w:val="0"/>
        <w:autoSpaceDN w:val="0"/>
        <w:adjustRightInd w:val="0"/>
        <w:ind w:left="1080"/>
        <w:rPr>
          <w:b/>
          <w:sz w:val="20"/>
          <w:szCs w:val="20"/>
          <w:lang w:val="en-US"/>
        </w:rPr>
      </w:pPr>
    </w:p>
    <w:p w:rsidR="004F399E" w:rsidRDefault="004F399E" w:rsidP="004F399E">
      <w:pPr>
        <w:widowControl w:val="0"/>
        <w:autoSpaceDE w:val="0"/>
        <w:autoSpaceDN w:val="0"/>
        <w:adjustRightInd w:val="0"/>
        <w:ind w:left="1080"/>
        <w:rPr>
          <w:b/>
          <w:sz w:val="20"/>
          <w:szCs w:val="20"/>
          <w:lang w:val="en-US"/>
        </w:rPr>
      </w:pPr>
      <w:r w:rsidRPr="00B75E85">
        <w:rPr>
          <w:b/>
          <w:sz w:val="20"/>
          <w:szCs w:val="20"/>
          <w:lang w:val="en-US"/>
        </w:rPr>
        <w:lastRenderedPageBreak/>
        <w:t>Item-Total Statistics</w:t>
      </w:r>
    </w:p>
    <w:tbl>
      <w:tblPr>
        <w:tblW w:w="1920" w:type="dxa"/>
        <w:tblInd w:w="1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93"/>
        <w:gridCol w:w="1127"/>
      </w:tblGrid>
      <w:tr w:rsidR="004F399E" w:rsidRPr="002055DB" w:rsidTr="00AF357C">
        <w:trPr>
          <w:trHeight w:val="975"/>
        </w:trPr>
        <w:tc>
          <w:tcPr>
            <w:tcW w:w="793" w:type="dxa"/>
            <w:shd w:val="clear" w:color="auto" w:fill="FFFFFF"/>
            <w:vAlign w:val="bottom"/>
            <w:hideMark/>
          </w:tcPr>
          <w:p w:rsidR="004F399E" w:rsidRPr="002055DB" w:rsidRDefault="004F399E" w:rsidP="00AF357C">
            <w:pPr>
              <w:suppressAutoHyphens w:val="0"/>
              <w:rPr>
                <w:sz w:val="20"/>
                <w:szCs w:val="20"/>
                <w:lang w:val="en-US" w:eastAsia="en-US"/>
              </w:rPr>
            </w:pPr>
            <w:r w:rsidRPr="002055DB">
              <w:rPr>
                <w:sz w:val="20"/>
                <w:szCs w:val="20"/>
                <w:lang w:val="en-US" w:eastAsia="en-US"/>
              </w:rPr>
              <w:t> </w:t>
            </w:r>
          </w:p>
        </w:tc>
        <w:tc>
          <w:tcPr>
            <w:tcW w:w="1127" w:type="dxa"/>
            <w:shd w:val="clear" w:color="auto" w:fill="FFFFFF"/>
            <w:vAlign w:val="bottom"/>
            <w:hideMark/>
          </w:tcPr>
          <w:p w:rsidR="004F399E" w:rsidRPr="002055DB" w:rsidRDefault="004F399E" w:rsidP="00AF357C">
            <w:pPr>
              <w:suppressAutoHyphens w:val="0"/>
              <w:jc w:val="center"/>
              <w:rPr>
                <w:sz w:val="20"/>
                <w:szCs w:val="20"/>
                <w:lang w:val="en-US" w:eastAsia="en-US"/>
              </w:rPr>
            </w:pPr>
            <w:r w:rsidRPr="002055DB">
              <w:rPr>
                <w:sz w:val="20"/>
                <w:szCs w:val="20"/>
                <w:lang w:val="en-US" w:eastAsia="en-US"/>
              </w:rPr>
              <w:t>Corrected Item-Total Correlation</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KO01</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0.660</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KO04</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0.602</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KO06</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0.586</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KO07</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0.540</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KO08</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0.519</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KO10</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0.500</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KO11</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0.495</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KO12</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0.490</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KO13</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0.481</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KO14</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0.479</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KO16</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0.465</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KO17</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0.414</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KO18</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0.369</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KO19</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0.345</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KO21</w:t>
            </w:r>
          </w:p>
        </w:tc>
        <w:tc>
          <w:tcPr>
            <w:tcW w:w="1127" w:type="dxa"/>
            <w:shd w:val="clear" w:color="auto" w:fill="FFFFFF"/>
            <w:noWrap/>
            <w:vAlign w:val="bottom"/>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0.342</w:t>
            </w:r>
          </w:p>
        </w:tc>
      </w:tr>
      <w:tr w:rsidR="004F399E" w:rsidRPr="002055DB" w:rsidTr="00AF357C">
        <w:trPr>
          <w:trHeight w:val="300"/>
        </w:trPr>
        <w:tc>
          <w:tcPr>
            <w:tcW w:w="793" w:type="dxa"/>
            <w:shd w:val="clear" w:color="auto" w:fill="FFFFFF"/>
            <w:hideMark/>
          </w:tcPr>
          <w:p w:rsidR="004F399E" w:rsidRPr="002055DB" w:rsidRDefault="004F399E" w:rsidP="00AF357C">
            <w:pPr>
              <w:suppressAutoHyphens w:val="0"/>
              <w:rPr>
                <w:sz w:val="20"/>
                <w:szCs w:val="20"/>
                <w:lang w:val="en-US" w:eastAsia="en-US"/>
              </w:rPr>
            </w:pPr>
            <w:r w:rsidRPr="002055DB">
              <w:rPr>
                <w:sz w:val="20"/>
                <w:szCs w:val="20"/>
                <w:lang w:val="en-US" w:eastAsia="en-US"/>
              </w:rPr>
              <w:t>KO25</w:t>
            </w:r>
          </w:p>
        </w:tc>
        <w:tc>
          <w:tcPr>
            <w:tcW w:w="1127" w:type="dxa"/>
            <w:shd w:val="clear" w:color="auto" w:fill="FFFFFF"/>
            <w:noWrap/>
            <w:hideMark/>
          </w:tcPr>
          <w:p w:rsidR="004F399E" w:rsidRPr="002055DB" w:rsidRDefault="004F399E" w:rsidP="00AF357C">
            <w:pPr>
              <w:suppressAutoHyphens w:val="0"/>
              <w:jc w:val="right"/>
              <w:rPr>
                <w:sz w:val="20"/>
                <w:szCs w:val="20"/>
                <w:lang w:val="en-US" w:eastAsia="en-US"/>
              </w:rPr>
            </w:pPr>
            <w:r w:rsidRPr="002055DB">
              <w:rPr>
                <w:sz w:val="20"/>
                <w:szCs w:val="20"/>
                <w:lang w:val="en-US" w:eastAsia="en-US"/>
              </w:rPr>
              <w:t>0.307</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 xml:space="preserve">Validitas Reliabilias Skala </w:t>
      </w:r>
      <w:r w:rsidRPr="000B3332">
        <w:rPr>
          <w:b/>
          <w:i/>
          <w:sz w:val="20"/>
          <w:szCs w:val="20"/>
          <w:lang w:val="en-US"/>
        </w:rPr>
        <w:t>Social</w:t>
      </w:r>
      <w:r>
        <w:rPr>
          <w:b/>
          <w:sz w:val="20"/>
          <w:szCs w:val="20"/>
          <w:lang w:val="en-US"/>
        </w:rPr>
        <w:t xml:space="preserve"> </w:t>
      </w:r>
      <w:r w:rsidRPr="000B3332">
        <w:rPr>
          <w:b/>
          <w:i/>
          <w:sz w:val="20"/>
          <w:szCs w:val="20"/>
          <w:lang w:val="en-US"/>
        </w:rPr>
        <w:t>Loafing</w:t>
      </w:r>
      <w:r>
        <w:rPr>
          <w:b/>
          <w:sz w:val="20"/>
          <w:szCs w:val="20"/>
          <w:lang w:val="en-US"/>
        </w:rPr>
        <w:t xml:space="preserve"> Sebelum Tryout</w:t>
      </w:r>
    </w:p>
    <w:p w:rsidR="004F399E" w:rsidRDefault="004F399E" w:rsidP="004F399E">
      <w:pPr>
        <w:widowControl w:val="0"/>
        <w:autoSpaceDE w:val="0"/>
        <w:autoSpaceDN w:val="0"/>
        <w:adjustRightInd w:val="0"/>
        <w:ind w:left="1080"/>
        <w:rPr>
          <w:b/>
          <w:sz w:val="20"/>
          <w:szCs w:val="20"/>
          <w:lang w:val="en-US"/>
        </w:rPr>
      </w:pPr>
      <w:r w:rsidRPr="00841488">
        <w:rPr>
          <w:b/>
          <w:sz w:val="20"/>
          <w:szCs w:val="20"/>
          <w:lang w:val="en-US"/>
        </w:rPr>
        <w:t>Reliability Statistics</w:t>
      </w:r>
    </w:p>
    <w:tbl>
      <w:tblPr>
        <w:tblW w:w="2068"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08"/>
        <w:gridCol w:w="960"/>
      </w:tblGrid>
      <w:tr w:rsidR="004F399E" w:rsidRPr="002D58B9" w:rsidTr="00AF357C">
        <w:trPr>
          <w:trHeight w:val="495"/>
        </w:trPr>
        <w:tc>
          <w:tcPr>
            <w:tcW w:w="1108" w:type="dxa"/>
            <w:shd w:val="clear" w:color="auto" w:fill="FFFFFF"/>
            <w:vAlign w:val="bottom"/>
            <w:hideMark/>
          </w:tcPr>
          <w:p w:rsidR="004F399E" w:rsidRPr="002D58B9" w:rsidRDefault="004F399E" w:rsidP="00AF357C">
            <w:pPr>
              <w:suppressAutoHyphens w:val="0"/>
              <w:jc w:val="center"/>
              <w:rPr>
                <w:sz w:val="20"/>
                <w:szCs w:val="20"/>
                <w:lang w:val="en-US" w:eastAsia="en-US"/>
              </w:rPr>
            </w:pPr>
            <w:r w:rsidRPr="002D58B9">
              <w:rPr>
                <w:sz w:val="20"/>
                <w:szCs w:val="20"/>
                <w:lang w:val="en-US" w:eastAsia="en-US"/>
              </w:rPr>
              <w:t>Cronbach's Alpha</w:t>
            </w:r>
          </w:p>
        </w:tc>
        <w:tc>
          <w:tcPr>
            <w:tcW w:w="960" w:type="dxa"/>
            <w:shd w:val="clear" w:color="auto" w:fill="FFFFFF"/>
            <w:vAlign w:val="bottom"/>
            <w:hideMark/>
          </w:tcPr>
          <w:p w:rsidR="004F399E" w:rsidRPr="002D58B9" w:rsidRDefault="004F399E" w:rsidP="00AF357C">
            <w:pPr>
              <w:suppressAutoHyphens w:val="0"/>
              <w:jc w:val="center"/>
              <w:rPr>
                <w:sz w:val="20"/>
                <w:szCs w:val="20"/>
                <w:lang w:val="en-US" w:eastAsia="en-US"/>
              </w:rPr>
            </w:pPr>
            <w:r w:rsidRPr="002D58B9">
              <w:rPr>
                <w:sz w:val="20"/>
                <w:szCs w:val="20"/>
                <w:lang w:val="en-US" w:eastAsia="en-US"/>
              </w:rPr>
              <w:t>N of Items</w:t>
            </w:r>
          </w:p>
        </w:tc>
      </w:tr>
      <w:tr w:rsidR="004F399E" w:rsidRPr="002D58B9" w:rsidTr="00AF357C">
        <w:trPr>
          <w:trHeight w:val="495"/>
        </w:trPr>
        <w:tc>
          <w:tcPr>
            <w:tcW w:w="1108"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0.872</w:t>
            </w:r>
          </w:p>
        </w:tc>
        <w:tc>
          <w:tcPr>
            <w:tcW w:w="960"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28</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autoSpaceDE w:val="0"/>
        <w:autoSpaceDN w:val="0"/>
        <w:adjustRightInd w:val="0"/>
        <w:ind w:left="1080"/>
        <w:rPr>
          <w:b/>
          <w:sz w:val="20"/>
          <w:szCs w:val="20"/>
          <w:lang w:val="en-US"/>
        </w:rPr>
      </w:pPr>
      <w:r w:rsidRPr="00B75E85">
        <w:rPr>
          <w:b/>
          <w:sz w:val="20"/>
          <w:szCs w:val="20"/>
          <w:lang w:val="en-US"/>
        </w:rPr>
        <w:t>Item-Total Statistics</w:t>
      </w:r>
    </w:p>
    <w:tbl>
      <w:tblPr>
        <w:tblW w:w="3440" w:type="dxa"/>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650"/>
        <w:gridCol w:w="1127"/>
        <w:gridCol w:w="1663"/>
      </w:tblGrid>
      <w:tr w:rsidR="004F399E" w:rsidRPr="006C7219" w:rsidTr="00AF357C">
        <w:trPr>
          <w:trHeight w:val="975"/>
        </w:trPr>
        <w:tc>
          <w:tcPr>
            <w:tcW w:w="650" w:type="dxa"/>
            <w:shd w:val="clear" w:color="auto" w:fill="FFFFFF"/>
            <w:vAlign w:val="bottom"/>
            <w:hideMark/>
          </w:tcPr>
          <w:p w:rsidR="004F399E" w:rsidRPr="00AD7224" w:rsidRDefault="004F399E" w:rsidP="00AF357C">
            <w:pPr>
              <w:rPr>
                <w:sz w:val="20"/>
                <w:szCs w:val="20"/>
              </w:rPr>
            </w:pPr>
            <w:r w:rsidRPr="00AD7224">
              <w:rPr>
                <w:sz w:val="20"/>
                <w:szCs w:val="20"/>
              </w:rPr>
              <w:t> </w:t>
            </w:r>
          </w:p>
        </w:tc>
        <w:tc>
          <w:tcPr>
            <w:tcW w:w="1127" w:type="dxa"/>
            <w:shd w:val="clear" w:color="auto" w:fill="FFFFFF"/>
            <w:vAlign w:val="bottom"/>
            <w:hideMark/>
          </w:tcPr>
          <w:p w:rsidR="004F399E" w:rsidRPr="00AD7224" w:rsidRDefault="004F399E" w:rsidP="00AF357C">
            <w:pPr>
              <w:jc w:val="center"/>
              <w:rPr>
                <w:sz w:val="20"/>
                <w:szCs w:val="20"/>
              </w:rPr>
            </w:pPr>
            <w:r w:rsidRPr="00AD7224">
              <w:rPr>
                <w:sz w:val="20"/>
                <w:szCs w:val="20"/>
              </w:rPr>
              <w:t>Corrected Item-Total Correlation</w:t>
            </w:r>
          </w:p>
        </w:tc>
        <w:tc>
          <w:tcPr>
            <w:tcW w:w="1663" w:type="dxa"/>
            <w:shd w:val="clear" w:color="auto" w:fill="FFFFFF"/>
            <w:noWrap/>
            <w:vAlign w:val="bottom"/>
            <w:hideMark/>
          </w:tcPr>
          <w:p w:rsidR="004F399E" w:rsidRPr="00AD7224" w:rsidRDefault="004F399E" w:rsidP="00AF357C">
            <w:pPr>
              <w:jc w:val="center"/>
              <w:rPr>
                <w:sz w:val="20"/>
                <w:szCs w:val="20"/>
              </w:rPr>
            </w:pPr>
          </w:p>
        </w:tc>
      </w:tr>
      <w:tr w:rsidR="004F399E" w:rsidRPr="006C7219" w:rsidTr="00AF357C">
        <w:trPr>
          <w:trHeight w:val="495"/>
        </w:trPr>
        <w:tc>
          <w:tcPr>
            <w:tcW w:w="650" w:type="dxa"/>
            <w:shd w:val="clear" w:color="auto" w:fill="FFFFFF"/>
            <w:hideMark/>
          </w:tcPr>
          <w:p w:rsidR="004F399E" w:rsidRPr="00AD7224" w:rsidRDefault="004F399E" w:rsidP="00AF357C">
            <w:pPr>
              <w:rPr>
                <w:sz w:val="20"/>
                <w:szCs w:val="20"/>
              </w:rPr>
            </w:pPr>
            <w:r w:rsidRPr="00AD7224">
              <w:rPr>
                <w:sz w:val="20"/>
                <w:szCs w:val="20"/>
              </w:rPr>
              <w:t>SL01</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0.560</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495"/>
        </w:trPr>
        <w:tc>
          <w:tcPr>
            <w:tcW w:w="650" w:type="dxa"/>
            <w:shd w:val="clear" w:color="auto" w:fill="FFFFFF"/>
            <w:hideMark/>
          </w:tcPr>
          <w:p w:rsidR="004F399E" w:rsidRPr="00AD7224" w:rsidRDefault="004F399E" w:rsidP="00AF357C">
            <w:pPr>
              <w:rPr>
                <w:sz w:val="20"/>
                <w:szCs w:val="20"/>
              </w:rPr>
            </w:pPr>
            <w:r w:rsidRPr="00AD7224">
              <w:rPr>
                <w:sz w:val="20"/>
                <w:szCs w:val="20"/>
              </w:rPr>
              <w:t>SL02</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0.662</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SL20</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0.623</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SL04</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0.618</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258"/>
        </w:trPr>
        <w:tc>
          <w:tcPr>
            <w:tcW w:w="650" w:type="dxa"/>
            <w:shd w:val="clear" w:color="auto" w:fill="FFFFFF"/>
            <w:hideMark/>
          </w:tcPr>
          <w:p w:rsidR="004F399E" w:rsidRPr="00AD7224" w:rsidRDefault="004F399E" w:rsidP="00AF357C">
            <w:pPr>
              <w:rPr>
                <w:sz w:val="20"/>
                <w:szCs w:val="20"/>
              </w:rPr>
            </w:pPr>
            <w:r w:rsidRPr="00AD7224">
              <w:rPr>
                <w:sz w:val="20"/>
                <w:szCs w:val="20"/>
              </w:rPr>
              <w:t>SL21</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0.615</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SL06</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0.608</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SL22</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0.570</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SL08</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0.568</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SL09</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0.535</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SL10</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0.532</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SL23</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0.498</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SL12</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0.494</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lastRenderedPageBreak/>
              <w:t>SL13</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0.460</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SL14</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0.448</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SL25</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0.444</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SL16</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0.437</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SL17</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0.399</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SL18</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0.241</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SL19</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0.239</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SL03</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0.237</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SL05</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0.235</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SL07</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0.233</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SL11</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0.231</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SL24</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0.178</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SL15</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0.167</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SL26</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0.115</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SL27</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0.114</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r w:rsidR="004F399E" w:rsidRPr="006C7219" w:rsidTr="00AF357C">
        <w:trPr>
          <w:trHeight w:val="300"/>
        </w:trPr>
        <w:tc>
          <w:tcPr>
            <w:tcW w:w="650" w:type="dxa"/>
            <w:shd w:val="clear" w:color="auto" w:fill="FFFFFF"/>
            <w:hideMark/>
          </w:tcPr>
          <w:p w:rsidR="004F399E" w:rsidRPr="00AD7224" w:rsidRDefault="004F399E" w:rsidP="00AF357C">
            <w:pPr>
              <w:rPr>
                <w:sz w:val="20"/>
                <w:szCs w:val="20"/>
              </w:rPr>
            </w:pPr>
            <w:r w:rsidRPr="00AD7224">
              <w:rPr>
                <w:sz w:val="20"/>
                <w:szCs w:val="20"/>
              </w:rPr>
              <w:t>SL28</w:t>
            </w:r>
          </w:p>
        </w:tc>
        <w:tc>
          <w:tcPr>
            <w:tcW w:w="1127" w:type="dxa"/>
            <w:shd w:val="clear" w:color="auto" w:fill="FFFFFF"/>
            <w:noWrap/>
            <w:hideMark/>
          </w:tcPr>
          <w:p w:rsidR="004F399E" w:rsidRPr="00AD7224" w:rsidRDefault="004F399E" w:rsidP="00AF357C">
            <w:pPr>
              <w:jc w:val="right"/>
              <w:rPr>
                <w:sz w:val="20"/>
                <w:szCs w:val="20"/>
              </w:rPr>
            </w:pPr>
            <w:r w:rsidRPr="00AD7224">
              <w:rPr>
                <w:sz w:val="20"/>
                <w:szCs w:val="20"/>
              </w:rPr>
              <w:t>0.045</w:t>
            </w:r>
          </w:p>
        </w:tc>
        <w:tc>
          <w:tcPr>
            <w:tcW w:w="1663" w:type="dxa"/>
            <w:shd w:val="clear" w:color="auto" w:fill="FFFFFF"/>
            <w:noWrap/>
            <w:vAlign w:val="bottom"/>
            <w:hideMark/>
          </w:tcPr>
          <w:p w:rsidR="004F399E" w:rsidRPr="00AD7224" w:rsidRDefault="004F399E" w:rsidP="00AF357C">
            <w:pPr>
              <w:rPr>
                <w:sz w:val="20"/>
                <w:szCs w:val="20"/>
              </w:rPr>
            </w:pPr>
            <w:r w:rsidRPr="00AD7224">
              <w:rPr>
                <w:sz w:val="20"/>
                <w:szCs w:val="20"/>
              </w:rPr>
              <w:t>TIDAK VALID</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Validitas Reliabilias Skala Social Loafing Sesudah Tryout</w:t>
      </w:r>
    </w:p>
    <w:p w:rsidR="004F399E" w:rsidRDefault="004F399E" w:rsidP="004F399E">
      <w:pPr>
        <w:widowControl w:val="0"/>
        <w:autoSpaceDE w:val="0"/>
        <w:autoSpaceDN w:val="0"/>
        <w:adjustRightInd w:val="0"/>
        <w:ind w:left="1080"/>
        <w:rPr>
          <w:b/>
          <w:sz w:val="20"/>
          <w:szCs w:val="20"/>
          <w:lang w:val="en-US"/>
        </w:rPr>
      </w:pPr>
      <w:r w:rsidRPr="00841488">
        <w:rPr>
          <w:b/>
          <w:sz w:val="20"/>
          <w:szCs w:val="20"/>
          <w:lang w:val="en-US"/>
        </w:rPr>
        <w:t>Reliability Statistics</w:t>
      </w:r>
    </w:p>
    <w:tbl>
      <w:tblPr>
        <w:tblW w:w="2068" w:type="dxa"/>
        <w:tblInd w:w="1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960"/>
      </w:tblGrid>
      <w:tr w:rsidR="004F399E" w:rsidRPr="002D58B9" w:rsidTr="00AF357C">
        <w:trPr>
          <w:trHeight w:val="495"/>
        </w:trPr>
        <w:tc>
          <w:tcPr>
            <w:tcW w:w="1108" w:type="dxa"/>
            <w:shd w:val="clear" w:color="auto" w:fill="auto"/>
            <w:vAlign w:val="bottom"/>
            <w:hideMark/>
          </w:tcPr>
          <w:p w:rsidR="004F399E" w:rsidRPr="002D58B9" w:rsidRDefault="004F399E" w:rsidP="00AF357C">
            <w:pPr>
              <w:suppressAutoHyphens w:val="0"/>
              <w:jc w:val="center"/>
              <w:rPr>
                <w:sz w:val="20"/>
                <w:szCs w:val="18"/>
                <w:lang w:val="en-US" w:eastAsia="en-US"/>
              </w:rPr>
            </w:pPr>
            <w:r w:rsidRPr="002D58B9">
              <w:rPr>
                <w:sz w:val="20"/>
                <w:szCs w:val="18"/>
                <w:lang w:val="en-US" w:eastAsia="en-US"/>
              </w:rPr>
              <w:t>Cronbach's Alpha</w:t>
            </w:r>
          </w:p>
        </w:tc>
        <w:tc>
          <w:tcPr>
            <w:tcW w:w="960" w:type="dxa"/>
            <w:shd w:val="clear" w:color="auto" w:fill="auto"/>
            <w:vAlign w:val="bottom"/>
            <w:hideMark/>
          </w:tcPr>
          <w:p w:rsidR="004F399E" w:rsidRPr="002D58B9" w:rsidRDefault="004F399E" w:rsidP="00AF357C">
            <w:pPr>
              <w:suppressAutoHyphens w:val="0"/>
              <w:jc w:val="center"/>
              <w:rPr>
                <w:sz w:val="20"/>
                <w:szCs w:val="18"/>
                <w:lang w:val="en-US" w:eastAsia="en-US"/>
              </w:rPr>
            </w:pPr>
            <w:r w:rsidRPr="002D58B9">
              <w:rPr>
                <w:sz w:val="20"/>
                <w:szCs w:val="18"/>
                <w:lang w:val="en-US" w:eastAsia="en-US"/>
              </w:rPr>
              <w:t>N of Items</w:t>
            </w:r>
          </w:p>
        </w:tc>
      </w:tr>
      <w:tr w:rsidR="004F399E" w:rsidRPr="002D58B9" w:rsidTr="00AF357C">
        <w:trPr>
          <w:trHeight w:val="300"/>
        </w:trPr>
        <w:tc>
          <w:tcPr>
            <w:tcW w:w="1108" w:type="dxa"/>
            <w:shd w:val="clear" w:color="auto" w:fill="auto"/>
            <w:noWrap/>
            <w:hideMark/>
          </w:tcPr>
          <w:p w:rsidR="004F399E" w:rsidRPr="002D58B9" w:rsidRDefault="004F399E" w:rsidP="00AF357C">
            <w:pPr>
              <w:suppressAutoHyphens w:val="0"/>
              <w:jc w:val="right"/>
              <w:rPr>
                <w:sz w:val="20"/>
                <w:szCs w:val="18"/>
                <w:lang w:val="en-US" w:eastAsia="en-US"/>
              </w:rPr>
            </w:pPr>
            <w:r w:rsidRPr="002D58B9">
              <w:rPr>
                <w:sz w:val="20"/>
                <w:szCs w:val="18"/>
                <w:lang w:val="en-US" w:eastAsia="en-US"/>
              </w:rPr>
              <w:t>0.870</w:t>
            </w:r>
          </w:p>
        </w:tc>
        <w:tc>
          <w:tcPr>
            <w:tcW w:w="960" w:type="dxa"/>
            <w:shd w:val="clear" w:color="auto" w:fill="auto"/>
            <w:noWrap/>
            <w:hideMark/>
          </w:tcPr>
          <w:p w:rsidR="004F399E" w:rsidRPr="002D58B9" w:rsidRDefault="004F399E" w:rsidP="00AF357C">
            <w:pPr>
              <w:suppressAutoHyphens w:val="0"/>
              <w:jc w:val="right"/>
              <w:rPr>
                <w:sz w:val="20"/>
                <w:szCs w:val="18"/>
                <w:lang w:val="en-US" w:eastAsia="en-US"/>
              </w:rPr>
            </w:pPr>
            <w:r w:rsidRPr="002D58B9">
              <w:rPr>
                <w:sz w:val="20"/>
                <w:szCs w:val="18"/>
                <w:lang w:val="en-US" w:eastAsia="en-US"/>
              </w:rPr>
              <w:t>17</w:t>
            </w:r>
          </w:p>
        </w:tc>
      </w:tr>
    </w:tbl>
    <w:p w:rsidR="004F399E" w:rsidRPr="00B75E85" w:rsidRDefault="004F399E" w:rsidP="004F399E">
      <w:pPr>
        <w:widowControl w:val="0"/>
        <w:autoSpaceDE w:val="0"/>
        <w:autoSpaceDN w:val="0"/>
        <w:adjustRightInd w:val="0"/>
        <w:ind w:left="1080"/>
        <w:rPr>
          <w:b/>
          <w:sz w:val="20"/>
          <w:szCs w:val="20"/>
          <w:lang w:val="en-US"/>
        </w:rPr>
      </w:pPr>
    </w:p>
    <w:p w:rsidR="004F399E" w:rsidRDefault="004F399E" w:rsidP="004F399E">
      <w:pPr>
        <w:widowControl w:val="0"/>
        <w:autoSpaceDE w:val="0"/>
        <w:autoSpaceDN w:val="0"/>
        <w:adjustRightInd w:val="0"/>
        <w:ind w:left="1080"/>
        <w:rPr>
          <w:b/>
          <w:sz w:val="20"/>
          <w:szCs w:val="20"/>
          <w:lang w:val="en-US"/>
        </w:rPr>
      </w:pPr>
      <w:r w:rsidRPr="00B75E85">
        <w:rPr>
          <w:b/>
          <w:sz w:val="20"/>
          <w:szCs w:val="20"/>
          <w:lang w:val="en-US"/>
        </w:rPr>
        <w:t>Item-Total Statistics</w:t>
      </w:r>
    </w:p>
    <w:tbl>
      <w:tblPr>
        <w:tblW w:w="1920" w:type="dxa"/>
        <w:tblInd w:w="1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93"/>
        <w:gridCol w:w="1127"/>
      </w:tblGrid>
      <w:tr w:rsidR="004F399E" w:rsidRPr="002D58B9" w:rsidTr="00AF357C">
        <w:trPr>
          <w:trHeight w:val="975"/>
        </w:trPr>
        <w:tc>
          <w:tcPr>
            <w:tcW w:w="793" w:type="dxa"/>
            <w:shd w:val="clear" w:color="auto" w:fill="FFFFFF"/>
            <w:vAlign w:val="bottom"/>
            <w:hideMark/>
          </w:tcPr>
          <w:p w:rsidR="004F399E" w:rsidRPr="002D58B9" w:rsidRDefault="004F399E" w:rsidP="00AF357C">
            <w:pPr>
              <w:suppressAutoHyphens w:val="0"/>
              <w:rPr>
                <w:sz w:val="20"/>
                <w:szCs w:val="20"/>
                <w:lang w:val="en-US" w:eastAsia="en-US"/>
              </w:rPr>
            </w:pPr>
            <w:r w:rsidRPr="002D58B9">
              <w:rPr>
                <w:sz w:val="20"/>
                <w:szCs w:val="20"/>
                <w:lang w:val="en-US" w:eastAsia="en-US"/>
              </w:rPr>
              <w:t> </w:t>
            </w:r>
          </w:p>
        </w:tc>
        <w:tc>
          <w:tcPr>
            <w:tcW w:w="1127" w:type="dxa"/>
            <w:shd w:val="clear" w:color="auto" w:fill="FFFFFF"/>
            <w:vAlign w:val="bottom"/>
            <w:hideMark/>
          </w:tcPr>
          <w:p w:rsidR="004F399E" w:rsidRPr="002D58B9" w:rsidRDefault="004F399E" w:rsidP="00AF357C">
            <w:pPr>
              <w:suppressAutoHyphens w:val="0"/>
              <w:jc w:val="center"/>
              <w:rPr>
                <w:sz w:val="20"/>
                <w:szCs w:val="20"/>
                <w:lang w:val="en-US" w:eastAsia="en-US"/>
              </w:rPr>
            </w:pPr>
            <w:r w:rsidRPr="002D58B9">
              <w:rPr>
                <w:sz w:val="20"/>
                <w:szCs w:val="20"/>
                <w:lang w:val="en-US" w:eastAsia="en-US"/>
              </w:rPr>
              <w:t>Corrected Item-Total Correlation</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SL06</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0.665</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SL14</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0.642</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SL21</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0.633</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SL17</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0.584</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SL02</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0.564</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SL16</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0.564</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SL01</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0.520</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SL25</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0.514</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SL20</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0.492</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SL10</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0.492</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SL23</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0.474</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SL08</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0.459</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SL09</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0.454</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SL12</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0.400</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SL13</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0.383</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SL04</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0.318</w:t>
            </w:r>
          </w:p>
        </w:tc>
      </w:tr>
      <w:tr w:rsidR="004F399E" w:rsidRPr="002D58B9" w:rsidTr="00AF357C">
        <w:trPr>
          <w:trHeight w:val="300"/>
        </w:trPr>
        <w:tc>
          <w:tcPr>
            <w:tcW w:w="793" w:type="dxa"/>
            <w:shd w:val="clear" w:color="auto" w:fill="FFFFFF"/>
            <w:hideMark/>
          </w:tcPr>
          <w:p w:rsidR="004F399E" w:rsidRPr="002D58B9" w:rsidRDefault="004F399E" w:rsidP="00AF357C">
            <w:pPr>
              <w:suppressAutoHyphens w:val="0"/>
              <w:rPr>
                <w:sz w:val="20"/>
                <w:szCs w:val="20"/>
                <w:lang w:val="en-US" w:eastAsia="en-US"/>
              </w:rPr>
            </w:pPr>
            <w:r w:rsidRPr="002D58B9">
              <w:rPr>
                <w:sz w:val="20"/>
                <w:szCs w:val="20"/>
                <w:lang w:val="en-US" w:eastAsia="en-US"/>
              </w:rPr>
              <w:t>SL22</w:t>
            </w:r>
          </w:p>
        </w:tc>
        <w:tc>
          <w:tcPr>
            <w:tcW w:w="1127" w:type="dxa"/>
            <w:shd w:val="clear" w:color="auto" w:fill="FFFFFF"/>
            <w:noWrap/>
            <w:hideMark/>
          </w:tcPr>
          <w:p w:rsidR="004F399E" w:rsidRPr="002D58B9" w:rsidRDefault="004F399E" w:rsidP="00AF357C">
            <w:pPr>
              <w:suppressAutoHyphens w:val="0"/>
              <w:jc w:val="right"/>
              <w:rPr>
                <w:sz w:val="20"/>
                <w:szCs w:val="20"/>
                <w:lang w:val="en-US" w:eastAsia="en-US"/>
              </w:rPr>
            </w:pPr>
            <w:r w:rsidRPr="002D58B9">
              <w:rPr>
                <w:sz w:val="20"/>
                <w:szCs w:val="20"/>
                <w:lang w:val="en-US" w:eastAsia="en-US"/>
              </w:rPr>
              <w:t>0.264</w:t>
            </w:r>
          </w:p>
        </w:tc>
      </w:tr>
    </w:tbl>
    <w:p w:rsidR="004F399E" w:rsidRPr="00F13335"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Uji Normalitas</w:t>
      </w:r>
    </w:p>
    <w:tbl>
      <w:tblPr>
        <w:tblW w:w="6810" w:type="dxa"/>
        <w:tblInd w:w="771" w:type="dxa"/>
        <w:tblBorders>
          <w:insideH w:val="single" w:sz="4" w:space="0" w:color="auto"/>
        </w:tblBorders>
        <w:tblLook w:val="04A0" w:firstRow="1" w:lastRow="0" w:firstColumn="1" w:lastColumn="0" w:noHBand="0" w:noVBand="1"/>
      </w:tblPr>
      <w:tblGrid>
        <w:gridCol w:w="2380"/>
        <w:gridCol w:w="1464"/>
        <w:gridCol w:w="1622"/>
        <w:gridCol w:w="1344"/>
      </w:tblGrid>
      <w:tr w:rsidR="004F399E" w:rsidRPr="00CD0CB2" w:rsidTr="00AF357C">
        <w:trPr>
          <w:trHeight w:val="223"/>
        </w:trPr>
        <w:tc>
          <w:tcPr>
            <w:tcW w:w="6810" w:type="dxa"/>
            <w:gridSpan w:val="4"/>
            <w:shd w:val="clear" w:color="auto" w:fill="auto"/>
            <w:vAlign w:val="center"/>
            <w:hideMark/>
          </w:tcPr>
          <w:p w:rsidR="004F399E" w:rsidRPr="00CD0CB2" w:rsidRDefault="004F399E" w:rsidP="00AF357C">
            <w:pPr>
              <w:suppressAutoHyphens w:val="0"/>
              <w:jc w:val="center"/>
              <w:rPr>
                <w:b/>
                <w:bCs/>
                <w:i/>
                <w:sz w:val="20"/>
                <w:szCs w:val="20"/>
                <w:lang w:val="en-US" w:eastAsia="en-US"/>
              </w:rPr>
            </w:pPr>
            <w:r w:rsidRPr="00CD0CB2">
              <w:rPr>
                <w:b/>
                <w:bCs/>
                <w:i/>
                <w:sz w:val="20"/>
                <w:szCs w:val="20"/>
                <w:lang w:val="en-US" w:eastAsia="en-US"/>
              </w:rPr>
              <w:t>One-Sample Kolmogorov-Smirnov Test</w:t>
            </w:r>
          </w:p>
        </w:tc>
      </w:tr>
      <w:tr w:rsidR="004F399E" w:rsidRPr="00CD0CB2" w:rsidTr="00AF357C">
        <w:trPr>
          <w:trHeight w:val="724"/>
        </w:trPr>
        <w:tc>
          <w:tcPr>
            <w:tcW w:w="3844" w:type="dxa"/>
            <w:gridSpan w:val="2"/>
            <w:shd w:val="clear" w:color="auto" w:fill="auto"/>
            <w:vAlign w:val="bottom"/>
            <w:hideMark/>
          </w:tcPr>
          <w:p w:rsidR="004F399E" w:rsidRPr="00CD0CB2" w:rsidRDefault="004F399E" w:rsidP="00AF357C">
            <w:pPr>
              <w:suppressAutoHyphens w:val="0"/>
              <w:rPr>
                <w:sz w:val="20"/>
                <w:szCs w:val="20"/>
                <w:lang w:val="en-US" w:eastAsia="en-US"/>
              </w:rPr>
            </w:pPr>
            <w:r w:rsidRPr="00CD0CB2">
              <w:rPr>
                <w:sz w:val="20"/>
                <w:szCs w:val="20"/>
                <w:lang w:val="en-US" w:eastAsia="en-US"/>
              </w:rPr>
              <w:t> </w:t>
            </w:r>
          </w:p>
        </w:tc>
        <w:tc>
          <w:tcPr>
            <w:tcW w:w="1622" w:type="dxa"/>
            <w:shd w:val="clear" w:color="auto" w:fill="auto"/>
            <w:vAlign w:val="bottom"/>
            <w:hideMark/>
          </w:tcPr>
          <w:p w:rsidR="004F399E" w:rsidRPr="00CD0CB2" w:rsidRDefault="004F399E" w:rsidP="00AF357C">
            <w:pPr>
              <w:suppressAutoHyphens w:val="0"/>
              <w:jc w:val="center"/>
              <w:rPr>
                <w:sz w:val="20"/>
                <w:szCs w:val="20"/>
                <w:lang w:val="en-US" w:eastAsia="en-US"/>
              </w:rPr>
            </w:pPr>
            <w:r w:rsidRPr="00CD0CB2">
              <w:rPr>
                <w:sz w:val="20"/>
                <w:szCs w:val="20"/>
                <w:lang w:val="en-US" w:eastAsia="en-US"/>
              </w:rPr>
              <w:t>Komitmen Organisasi</w:t>
            </w:r>
          </w:p>
        </w:tc>
        <w:tc>
          <w:tcPr>
            <w:tcW w:w="1344" w:type="dxa"/>
            <w:shd w:val="clear" w:color="auto" w:fill="auto"/>
            <w:vAlign w:val="bottom"/>
            <w:hideMark/>
          </w:tcPr>
          <w:p w:rsidR="004F399E" w:rsidRPr="00CD0CB2" w:rsidRDefault="004F399E" w:rsidP="00AF357C">
            <w:pPr>
              <w:suppressAutoHyphens w:val="0"/>
              <w:jc w:val="center"/>
              <w:rPr>
                <w:i/>
                <w:sz w:val="20"/>
                <w:szCs w:val="20"/>
                <w:lang w:val="en-US" w:eastAsia="en-US"/>
              </w:rPr>
            </w:pPr>
            <w:r w:rsidRPr="00CD0CB2">
              <w:rPr>
                <w:i/>
                <w:sz w:val="20"/>
                <w:szCs w:val="20"/>
                <w:lang w:val="en-US" w:eastAsia="en-US"/>
              </w:rPr>
              <w:t>Social Loafing</w:t>
            </w:r>
          </w:p>
        </w:tc>
      </w:tr>
      <w:tr w:rsidR="004F399E" w:rsidRPr="00CD0CB2" w:rsidTr="00AF357C">
        <w:trPr>
          <w:trHeight w:val="223"/>
        </w:trPr>
        <w:tc>
          <w:tcPr>
            <w:tcW w:w="3844" w:type="dxa"/>
            <w:gridSpan w:val="2"/>
            <w:shd w:val="clear" w:color="auto" w:fill="auto"/>
            <w:hideMark/>
          </w:tcPr>
          <w:p w:rsidR="004F399E" w:rsidRPr="00CD0CB2" w:rsidRDefault="004F399E" w:rsidP="00AF357C">
            <w:pPr>
              <w:suppressAutoHyphens w:val="0"/>
              <w:rPr>
                <w:sz w:val="20"/>
                <w:szCs w:val="20"/>
                <w:lang w:val="en-US" w:eastAsia="en-US"/>
              </w:rPr>
            </w:pPr>
            <w:r w:rsidRPr="00CD0CB2">
              <w:rPr>
                <w:sz w:val="20"/>
                <w:szCs w:val="20"/>
                <w:lang w:val="en-US" w:eastAsia="en-US"/>
              </w:rPr>
              <w:t>N</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162</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162</w:t>
            </w:r>
          </w:p>
        </w:tc>
      </w:tr>
      <w:tr w:rsidR="004F399E" w:rsidRPr="00CD0CB2" w:rsidTr="00AF357C">
        <w:trPr>
          <w:trHeight w:val="223"/>
        </w:trPr>
        <w:tc>
          <w:tcPr>
            <w:tcW w:w="2380" w:type="dxa"/>
            <w:vMerge w:val="restart"/>
            <w:shd w:val="clear" w:color="auto" w:fill="auto"/>
            <w:hideMark/>
          </w:tcPr>
          <w:p w:rsidR="004F399E" w:rsidRPr="00CD0CB2" w:rsidRDefault="004F399E" w:rsidP="00AF357C">
            <w:pPr>
              <w:suppressAutoHyphens w:val="0"/>
              <w:rPr>
                <w:i/>
                <w:sz w:val="20"/>
                <w:szCs w:val="20"/>
                <w:lang w:val="en-US" w:eastAsia="en-US"/>
              </w:rPr>
            </w:pPr>
            <w:r w:rsidRPr="00CD0CB2">
              <w:rPr>
                <w:i/>
                <w:sz w:val="20"/>
                <w:szCs w:val="20"/>
                <w:lang w:val="en-US" w:eastAsia="en-US"/>
              </w:rPr>
              <w:t>Normal Parameters</w:t>
            </w:r>
            <w:r w:rsidRPr="00CD0CB2">
              <w:rPr>
                <w:i/>
                <w:sz w:val="20"/>
                <w:szCs w:val="20"/>
                <w:vertAlign w:val="superscript"/>
                <w:lang w:val="en-US" w:eastAsia="en-US"/>
              </w:rPr>
              <w:t>a,b</w:t>
            </w:r>
          </w:p>
        </w:tc>
        <w:tc>
          <w:tcPr>
            <w:tcW w:w="1464" w:type="dxa"/>
            <w:shd w:val="clear" w:color="auto" w:fill="auto"/>
            <w:hideMark/>
          </w:tcPr>
          <w:p w:rsidR="004F399E" w:rsidRPr="00CD0CB2" w:rsidRDefault="004F399E" w:rsidP="00AF357C">
            <w:pPr>
              <w:suppressAutoHyphens w:val="0"/>
              <w:rPr>
                <w:sz w:val="20"/>
                <w:szCs w:val="20"/>
                <w:lang w:val="en-US" w:eastAsia="en-US"/>
              </w:rPr>
            </w:pPr>
            <w:r w:rsidRPr="00CD0CB2">
              <w:rPr>
                <w:sz w:val="20"/>
                <w:szCs w:val="20"/>
                <w:lang w:val="en-US" w:eastAsia="en-US"/>
              </w:rPr>
              <w:t>Mean</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42.51</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41.78</w:t>
            </w:r>
          </w:p>
        </w:tc>
      </w:tr>
      <w:tr w:rsidR="004F399E" w:rsidRPr="00CD0CB2" w:rsidTr="00AF357C">
        <w:trPr>
          <w:trHeight w:val="223"/>
        </w:trPr>
        <w:tc>
          <w:tcPr>
            <w:tcW w:w="2380" w:type="dxa"/>
            <w:vMerge/>
            <w:shd w:val="clear" w:color="auto" w:fill="auto"/>
            <w:vAlign w:val="center"/>
            <w:hideMark/>
          </w:tcPr>
          <w:p w:rsidR="004F399E" w:rsidRPr="00CD0CB2" w:rsidRDefault="004F399E" w:rsidP="00AF357C">
            <w:pPr>
              <w:suppressAutoHyphens w:val="0"/>
              <w:rPr>
                <w:sz w:val="20"/>
                <w:szCs w:val="20"/>
                <w:lang w:val="en-US" w:eastAsia="en-US"/>
              </w:rPr>
            </w:pPr>
          </w:p>
        </w:tc>
        <w:tc>
          <w:tcPr>
            <w:tcW w:w="1464" w:type="dxa"/>
            <w:shd w:val="clear" w:color="auto" w:fill="auto"/>
            <w:hideMark/>
          </w:tcPr>
          <w:p w:rsidR="004F399E" w:rsidRPr="00CD0CB2" w:rsidRDefault="004F399E" w:rsidP="00AF357C">
            <w:pPr>
              <w:suppressAutoHyphens w:val="0"/>
              <w:rPr>
                <w:sz w:val="20"/>
                <w:szCs w:val="20"/>
                <w:lang w:val="en-US" w:eastAsia="en-US"/>
              </w:rPr>
            </w:pPr>
            <w:r w:rsidRPr="00CD0CB2">
              <w:rPr>
                <w:sz w:val="20"/>
                <w:szCs w:val="20"/>
                <w:lang w:val="en-US" w:eastAsia="en-US"/>
              </w:rPr>
              <w:t>Std. Deviation</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5.611</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6.881</w:t>
            </w:r>
          </w:p>
        </w:tc>
      </w:tr>
      <w:tr w:rsidR="004F399E" w:rsidRPr="00CD0CB2" w:rsidTr="00AF357C">
        <w:trPr>
          <w:trHeight w:val="223"/>
        </w:trPr>
        <w:tc>
          <w:tcPr>
            <w:tcW w:w="2380" w:type="dxa"/>
            <w:vMerge w:val="restart"/>
            <w:shd w:val="clear" w:color="auto" w:fill="auto"/>
            <w:hideMark/>
          </w:tcPr>
          <w:p w:rsidR="004F399E" w:rsidRPr="00CD0CB2" w:rsidRDefault="004F399E" w:rsidP="00AF357C">
            <w:pPr>
              <w:suppressAutoHyphens w:val="0"/>
              <w:rPr>
                <w:i/>
                <w:sz w:val="20"/>
                <w:szCs w:val="20"/>
                <w:lang w:val="en-US" w:eastAsia="en-US"/>
              </w:rPr>
            </w:pPr>
            <w:r w:rsidRPr="00CD0CB2">
              <w:rPr>
                <w:i/>
                <w:sz w:val="20"/>
                <w:szCs w:val="20"/>
                <w:lang w:val="en-US" w:eastAsia="en-US"/>
              </w:rPr>
              <w:t>Most Extreme Differences</w:t>
            </w:r>
          </w:p>
        </w:tc>
        <w:tc>
          <w:tcPr>
            <w:tcW w:w="1464" w:type="dxa"/>
            <w:shd w:val="clear" w:color="auto" w:fill="auto"/>
            <w:hideMark/>
          </w:tcPr>
          <w:p w:rsidR="004F399E" w:rsidRPr="00CD0CB2" w:rsidRDefault="004F399E" w:rsidP="00AF357C">
            <w:pPr>
              <w:suppressAutoHyphens w:val="0"/>
              <w:rPr>
                <w:sz w:val="20"/>
                <w:szCs w:val="20"/>
                <w:lang w:val="en-US" w:eastAsia="en-US"/>
              </w:rPr>
            </w:pPr>
            <w:r w:rsidRPr="00CD0CB2">
              <w:rPr>
                <w:sz w:val="20"/>
                <w:szCs w:val="20"/>
                <w:lang w:val="en-US" w:eastAsia="en-US"/>
              </w:rPr>
              <w:t>Absolute</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0.078</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0.087</w:t>
            </w:r>
          </w:p>
        </w:tc>
      </w:tr>
      <w:tr w:rsidR="004F399E" w:rsidRPr="00CD0CB2" w:rsidTr="00AF357C">
        <w:trPr>
          <w:trHeight w:val="223"/>
        </w:trPr>
        <w:tc>
          <w:tcPr>
            <w:tcW w:w="2380" w:type="dxa"/>
            <w:vMerge/>
            <w:shd w:val="clear" w:color="auto" w:fill="auto"/>
            <w:vAlign w:val="center"/>
            <w:hideMark/>
          </w:tcPr>
          <w:p w:rsidR="004F399E" w:rsidRPr="00CD0CB2" w:rsidRDefault="004F399E" w:rsidP="00AF357C">
            <w:pPr>
              <w:suppressAutoHyphens w:val="0"/>
              <w:rPr>
                <w:sz w:val="20"/>
                <w:szCs w:val="20"/>
                <w:lang w:val="en-US" w:eastAsia="en-US"/>
              </w:rPr>
            </w:pPr>
          </w:p>
        </w:tc>
        <w:tc>
          <w:tcPr>
            <w:tcW w:w="1464" w:type="dxa"/>
            <w:shd w:val="clear" w:color="auto" w:fill="auto"/>
            <w:hideMark/>
          </w:tcPr>
          <w:p w:rsidR="004F399E" w:rsidRPr="00CD0CB2" w:rsidRDefault="004F399E" w:rsidP="00AF357C">
            <w:pPr>
              <w:suppressAutoHyphens w:val="0"/>
              <w:rPr>
                <w:sz w:val="20"/>
                <w:szCs w:val="20"/>
                <w:lang w:val="en-US" w:eastAsia="en-US"/>
              </w:rPr>
            </w:pPr>
            <w:r w:rsidRPr="00CD0CB2">
              <w:rPr>
                <w:sz w:val="20"/>
                <w:szCs w:val="20"/>
                <w:lang w:val="en-US" w:eastAsia="en-US"/>
              </w:rPr>
              <w:t>Positive</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0.048</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0.053</w:t>
            </w:r>
          </w:p>
        </w:tc>
      </w:tr>
      <w:tr w:rsidR="004F399E" w:rsidRPr="00CD0CB2" w:rsidTr="00AF357C">
        <w:trPr>
          <w:trHeight w:val="223"/>
        </w:trPr>
        <w:tc>
          <w:tcPr>
            <w:tcW w:w="2380" w:type="dxa"/>
            <w:vMerge/>
            <w:shd w:val="clear" w:color="auto" w:fill="auto"/>
            <w:vAlign w:val="center"/>
            <w:hideMark/>
          </w:tcPr>
          <w:p w:rsidR="004F399E" w:rsidRPr="00CD0CB2" w:rsidRDefault="004F399E" w:rsidP="00AF357C">
            <w:pPr>
              <w:suppressAutoHyphens w:val="0"/>
              <w:rPr>
                <w:sz w:val="20"/>
                <w:szCs w:val="20"/>
                <w:lang w:val="en-US" w:eastAsia="en-US"/>
              </w:rPr>
            </w:pPr>
          </w:p>
        </w:tc>
        <w:tc>
          <w:tcPr>
            <w:tcW w:w="1464" w:type="dxa"/>
            <w:shd w:val="clear" w:color="auto" w:fill="auto"/>
            <w:hideMark/>
          </w:tcPr>
          <w:p w:rsidR="004F399E" w:rsidRPr="00CD0CB2" w:rsidRDefault="004F399E" w:rsidP="00AF357C">
            <w:pPr>
              <w:suppressAutoHyphens w:val="0"/>
              <w:rPr>
                <w:sz w:val="20"/>
                <w:szCs w:val="20"/>
                <w:lang w:val="en-US" w:eastAsia="en-US"/>
              </w:rPr>
            </w:pPr>
            <w:r w:rsidRPr="00CD0CB2">
              <w:rPr>
                <w:sz w:val="20"/>
                <w:szCs w:val="20"/>
                <w:lang w:val="en-US" w:eastAsia="en-US"/>
              </w:rPr>
              <w:t>Negative</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-0.078</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-0.087</w:t>
            </w:r>
          </w:p>
        </w:tc>
      </w:tr>
      <w:tr w:rsidR="004F399E" w:rsidRPr="00CD0CB2" w:rsidTr="00AF357C">
        <w:trPr>
          <w:trHeight w:val="223"/>
        </w:trPr>
        <w:tc>
          <w:tcPr>
            <w:tcW w:w="3844" w:type="dxa"/>
            <w:gridSpan w:val="2"/>
            <w:shd w:val="clear" w:color="auto" w:fill="auto"/>
            <w:hideMark/>
          </w:tcPr>
          <w:p w:rsidR="004F399E" w:rsidRPr="00CD0CB2" w:rsidRDefault="004F399E" w:rsidP="00AF357C">
            <w:pPr>
              <w:suppressAutoHyphens w:val="0"/>
              <w:rPr>
                <w:i/>
                <w:sz w:val="20"/>
                <w:szCs w:val="20"/>
                <w:lang w:val="en-US" w:eastAsia="en-US"/>
              </w:rPr>
            </w:pPr>
            <w:r w:rsidRPr="00CD0CB2">
              <w:rPr>
                <w:i/>
                <w:sz w:val="20"/>
                <w:szCs w:val="20"/>
                <w:lang w:val="en-US" w:eastAsia="en-US"/>
              </w:rPr>
              <w:t>Test Statistic</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0.078</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0.087</w:t>
            </w:r>
          </w:p>
        </w:tc>
      </w:tr>
      <w:tr w:rsidR="004F399E" w:rsidRPr="00CD0CB2" w:rsidTr="00AF357C">
        <w:trPr>
          <w:trHeight w:val="223"/>
        </w:trPr>
        <w:tc>
          <w:tcPr>
            <w:tcW w:w="3844" w:type="dxa"/>
            <w:gridSpan w:val="2"/>
            <w:shd w:val="clear" w:color="auto" w:fill="auto"/>
            <w:hideMark/>
          </w:tcPr>
          <w:p w:rsidR="004F399E" w:rsidRPr="00CD0CB2" w:rsidRDefault="004F399E" w:rsidP="00AF357C">
            <w:pPr>
              <w:suppressAutoHyphens w:val="0"/>
              <w:rPr>
                <w:i/>
                <w:sz w:val="20"/>
                <w:szCs w:val="20"/>
                <w:lang w:val="en-US" w:eastAsia="en-US"/>
              </w:rPr>
            </w:pPr>
            <w:r w:rsidRPr="00CD0CB2">
              <w:rPr>
                <w:i/>
                <w:sz w:val="20"/>
                <w:szCs w:val="20"/>
                <w:lang w:val="en-US" w:eastAsia="en-US"/>
              </w:rPr>
              <w:t>Asymp. Sig. (2-tailed)</w:t>
            </w:r>
          </w:p>
        </w:tc>
        <w:tc>
          <w:tcPr>
            <w:tcW w:w="1622"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.018</w:t>
            </w:r>
            <w:r w:rsidRPr="00CD0CB2">
              <w:rPr>
                <w:sz w:val="20"/>
                <w:szCs w:val="20"/>
                <w:vertAlign w:val="superscript"/>
                <w:lang w:val="en-US" w:eastAsia="en-US"/>
              </w:rPr>
              <w:t>c</w:t>
            </w:r>
          </w:p>
        </w:tc>
        <w:tc>
          <w:tcPr>
            <w:tcW w:w="1344" w:type="dxa"/>
            <w:shd w:val="clear" w:color="auto" w:fill="auto"/>
            <w:noWrap/>
            <w:hideMark/>
          </w:tcPr>
          <w:p w:rsidR="004F399E" w:rsidRPr="00CD0CB2" w:rsidRDefault="004F399E" w:rsidP="00AF357C">
            <w:pPr>
              <w:suppressAutoHyphens w:val="0"/>
              <w:jc w:val="right"/>
              <w:rPr>
                <w:sz w:val="20"/>
                <w:szCs w:val="20"/>
                <w:lang w:val="en-US" w:eastAsia="en-US"/>
              </w:rPr>
            </w:pPr>
            <w:r w:rsidRPr="00CD0CB2">
              <w:rPr>
                <w:sz w:val="20"/>
                <w:szCs w:val="20"/>
                <w:lang w:val="en-US" w:eastAsia="en-US"/>
              </w:rPr>
              <w:t>.004</w:t>
            </w:r>
            <w:r w:rsidRPr="00CD0CB2">
              <w:rPr>
                <w:sz w:val="20"/>
                <w:szCs w:val="20"/>
                <w:vertAlign w:val="superscript"/>
                <w:lang w:val="en-US" w:eastAsia="en-US"/>
              </w:rPr>
              <w:t>c</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Uji Linieritas</w:t>
      </w:r>
    </w:p>
    <w:tbl>
      <w:tblPr>
        <w:tblW w:w="7726" w:type="dxa"/>
        <w:tblInd w:w="676" w:type="dxa"/>
        <w:tblBorders>
          <w:insideH w:val="single" w:sz="4" w:space="0" w:color="auto"/>
        </w:tblBorders>
        <w:tblLook w:val="04A0" w:firstRow="1" w:lastRow="0" w:firstColumn="1" w:lastColumn="0" w:noHBand="0" w:noVBand="1"/>
      </w:tblPr>
      <w:tblGrid>
        <w:gridCol w:w="1435"/>
        <w:gridCol w:w="1005"/>
        <w:gridCol w:w="1350"/>
        <w:gridCol w:w="1050"/>
        <w:gridCol w:w="516"/>
        <w:gridCol w:w="938"/>
        <w:gridCol w:w="766"/>
        <w:gridCol w:w="666"/>
      </w:tblGrid>
      <w:tr w:rsidR="004F399E" w:rsidRPr="002E7CCD" w:rsidTr="00AF357C">
        <w:trPr>
          <w:trHeight w:val="266"/>
        </w:trPr>
        <w:tc>
          <w:tcPr>
            <w:tcW w:w="0" w:type="auto"/>
            <w:gridSpan w:val="8"/>
            <w:shd w:val="clear" w:color="auto" w:fill="auto"/>
            <w:vAlign w:val="center"/>
            <w:hideMark/>
          </w:tcPr>
          <w:p w:rsidR="004F399E" w:rsidRPr="002E7CCD" w:rsidRDefault="004F399E" w:rsidP="00AF357C">
            <w:pPr>
              <w:suppressAutoHyphens w:val="0"/>
              <w:jc w:val="center"/>
              <w:rPr>
                <w:b/>
                <w:bCs/>
                <w:sz w:val="20"/>
                <w:szCs w:val="20"/>
                <w:lang w:val="en-US" w:eastAsia="en-US"/>
              </w:rPr>
            </w:pPr>
            <w:r w:rsidRPr="002E7CCD">
              <w:rPr>
                <w:b/>
                <w:bCs/>
                <w:sz w:val="20"/>
                <w:szCs w:val="20"/>
                <w:lang w:val="en-US" w:eastAsia="en-US"/>
              </w:rPr>
              <w:t>ANOVA Table</w:t>
            </w:r>
          </w:p>
        </w:tc>
      </w:tr>
      <w:tr w:rsidR="004F399E" w:rsidRPr="002E7CCD" w:rsidTr="00AF357C">
        <w:trPr>
          <w:trHeight w:val="441"/>
        </w:trPr>
        <w:tc>
          <w:tcPr>
            <w:tcW w:w="0" w:type="auto"/>
            <w:gridSpan w:val="3"/>
            <w:shd w:val="clear" w:color="auto" w:fill="auto"/>
            <w:vAlign w:val="bottom"/>
            <w:hideMark/>
          </w:tcPr>
          <w:p w:rsidR="004F399E" w:rsidRPr="002E7CCD" w:rsidRDefault="004F399E" w:rsidP="00AF357C">
            <w:pPr>
              <w:suppressAutoHyphens w:val="0"/>
              <w:rPr>
                <w:sz w:val="20"/>
                <w:szCs w:val="20"/>
                <w:lang w:val="en-US" w:eastAsia="en-US"/>
              </w:rPr>
            </w:pPr>
            <w:r w:rsidRPr="002E7CCD">
              <w:rPr>
                <w:sz w:val="20"/>
                <w:szCs w:val="20"/>
                <w:lang w:val="en-US" w:eastAsia="en-US"/>
              </w:rPr>
              <w:t> </w:t>
            </w:r>
          </w:p>
        </w:tc>
        <w:tc>
          <w:tcPr>
            <w:tcW w:w="0" w:type="auto"/>
            <w:shd w:val="clear" w:color="auto" w:fill="auto"/>
            <w:vAlign w:val="bottom"/>
            <w:hideMark/>
          </w:tcPr>
          <w:p w:rsidR="004F399E" w:rsidRPr="002E7CCD" w:rsidRDefault="004F399E" w:rsidP="00AF357C">
            <w:pPr>
              <w:suppressAutoHyphens w:val="0"/>
              <w:jc w:val="center"/>
              <w:rPr>
                <w:i/>
                <w:sz w:val="20"/>
                <w:szCs w:val="20"/>
                <w:lang w:val="en-US" w:eastAsia="en-US"/>
              </w:rPr>
            </w:pPr>
            <w:r w:rsidRPr="002E7CCD">
              <w:rPr>
                <w:i/>
                <w:sz w:val="20"/>
                <w:szCs w:val="20"/>
                <w:lang w:val="en-US" w:eastAsia="en-US"/>
              </w:rPr>
              <w:t>Sum of Squares</w:t>
            </w:r>
          </w:p>
        </w:tc>
        <w:tc>
          <w:tcPr>
            <w:tcW w:w="0" w:type="auto"/>
            <w:shd w:val="clear" w:color="auto" w:fill="auto"/>
            <w:vAlign w:val="bottom"/>
            <w:hideMark/>
          </w:tcPr>
          <w:p w:rsidR="004F399E" w:rsidRPr="002E7CCD" w:rsidRDefault="004F399E" w:rsidP="00AF357C">
            <w:pPr>
              <w:suppressAutoHyphens w:val="0"/>
              <w:jc w:val="center"/>
              <w:rPr>
                <w:sz w:val="20"/>
                <w:szCs w:val="20"/>
                <w:lang w:val="en-US" w:eastAsia="en-US"/>
              </w:rPr>
            </w:pPr>
            <w:r w:rsidRPr="002E7CCD">
              <w:rPr>
                <w:sz w:val="20"/>
                <w:szCs w:val="20"/>
                <w:lang w:val="en-US" w:eastAsia="en-US"/>
              </w:rPr>
              <w:t>df</w:t>
            </w:r>
          </w:p>
        </w:tc>
        <w:tc>
          <w:tcPr>
            <w:tcW w:w="0" w:type="auto"/>
            <w:shd w:val="clear" w:color="auto" w:fill="auto"/>
            <w:vAlign w:val="bottom"/>
            <w:hideMark/>
          </w:tcPr>
          <w:p w:rsidR="004F399E" w:rsidRPr="002E7CCD" w:rsidRDefault="004F399E" w:rsidP="00AF357C">
            <w:pPr>
              <w:suppressAutoHyphens w:val="0"/>
              <w:jc w:val="center"/>
              <w:rPr>
                <w:i/>
                <w:sz w:val="20"/>
                <w:szCs w:val="20"/>
                <w:lang w:val="en-US" w:eastAsia="en-US"/>
              </w:rPr>
            </w:pPr>
            <w:r w:rsidRPr="002E7CCD">
              <w:rPr>
                <w:i/>
                <w:sz w:val="20"/>
                <w:szCs w:val="20"/>
                <w:lang w:val="en-US" w:eastAsia="en-US"/>
              </w:rPr>
              <w:t>Mean Square</w:t>
            </w:r>
          </w:p>
        </w:tc>
        <w:tc>
          <w:tcPr>
            <w:tcW w:w="0" w:type="auto"/>
            <w:shd w:val="clear" w:color="auto" w:fill="auto"/>
            <w:vAlign w:val="bottom"/>
            <w:hideMark/>
          </w:tcPr>
          <w:p w:rsidR="004F399E" w:rsidRPr="002E7CCD" w:rsidRDefault="004F399E" w:rsidP="00AF357C">
            <w:pPr>
              <w:suppressAutoHyphens w:val="0"/>
              <w:jc w:val="center"/>
              <w:rPr>
                <w:sz w:val="20"/>
                <w:szCs w:val="20"/>
                <w:lang w:val="en-US" w:eastAsia="en-US"/>
              </w:rPr>
            </w:pPr>
            <w:r w:rsidRPr="002E7CCD">
              <w:rPr>
                <w:sz w:val="20"/>
                <w:szCs w:val="20"/>
                <w:lang w:val="en-US" w:eastAsia="en-US"/>
              </w:rPr>
              <w:t>F</w:t>
            </w:r>
          </w:p>
        </w:tc>
        <w:tc>
          <w:tcPr>
            <w:tcW w:w="0" w:type="auto"/>
            <w:shd w:val="clear" w:color="auto" w:fill="auto"/>
            <w:vAlign w:val="bottom"/>
            <w:hideMark/>
          </w:tcPr>
          <w:p w:rsidR="004F399E" w:rsidRPr="002E7CCD" w:rsidRDefault="004F399E" w:rsidP="00AF357C">
            <w:pPr>
              <w:suppressAutoHyphens w:val="0"/>
              <w:jc w:val="center"/>
              <w:rPr>
                <w:sz w:val="20"/>
                <w:szCs w:val="20"/>
                <w:lang w:val="en-US" w:eastAsia="en-US"/>
              </w:rPr>
            </w:pPr>
            <w:r w:rsidRPr="002E7CCD">
              <w:rPr>
                <w:sz w:val="20"/>
                <w:szCs w:val="20"/>
                <w:lang w:val="en-US" w:eastAsia="en-US"/>
              </w:rPr>
              <w:t>Sig.</w:t>
            </w:r>
          </w:p>
        </w:tc>
      </w:tr>
      <w:tr w:rsidR="004F399E" w:rsidRPr="002E7CCD" w:rsidTr="00AF357C">
        <w:trPr>
          <w:trHeight w:val="266"/>
        </w:trPr>
        <w:tc>
          <w:tcPr>
            <w:tcW w:w="0" w:type="auto"/>
            <w:vMerge w:val="restart"/>
            <w:shd w:val="clear" w:color="auto" w:fill="auto"/>
            <w:hideMark/>
          </w:tcPr>
          <w:p w:rsidR="004F399E" w:rsidRPr="002E7CCD" w:rsidRDefault="004F399E" w:rsidP="00AF357C">
            <w:pPr>
              <w:suppressAutoHyphens w:val="0"/>
              <w:rPr>
                <w:sz w:val="20"/>
                <w:szCs w:val="20"/>
                <w:lang w:val="en-US" w:eastAsia="en-US"/>
              </w:rPr>
            </w:pPr>
            <w:r w:rsidRPr="002E7CCD">
              <w:rPr>
                <w:i/>
                <w:sz w:val="20"/>
                <w:szCs w:val="20"/>
                <w:lang w:val="en-US" w:eastAsia="en-US"/>
              </w:rPr>
              <w:t>Social Loafing</w:t>
            </w:r>
            <w:r>
              <w:rPr>
                <w:sz w:val="20"/>
                <w:szCs w:val="20"/>
                <w:lang w:val="en-US" w:eastAsia="en-US"/>
              </w:rPr>
              <w:t xml:space="preserve"> </w:t>
            </w:r>
            <w:r w:rsidRPr="002E7CCD">
              <w:rPr>
                <w:sz w:val="20"/>
                <w:szCs w:val="20"/>
                <w:lang w:val="en-US" w:eastAsia="en-US"/>
              </w:rPr>
              <w:t>Komitmen Organisasi</w:t>
            </w:r>
          </w:p>
        </w:tc>
        <w:tc>
          <w:tcPr>
            <w:tcW w:w="0" w:type="auto"/>
            <w:vMerge w:val="restart"/>
            <w:shd w:val="clear" w:color="auto" w:fill="auto"/>
            <w:hideMark/>
          </w:tcPr>
          <w:p w:rsidR="004F399E" w:rsidRPr="002E7CCD" w:rsidRDefault="004F399E" w:rsidP="00AF357C">
            <w:pPr>
              <w:suppressAutoHyphens w:val="0"/>
              <w:rPr>
                <w:i/>
                <w:sz w:val="20"/>
                <w:szCs w:val="20"/>
                <w:lang w:val="en-US" w:eastAsia="en-US"/>
              </w:rPr>
            </w:pPr>
            <w:r w:rsidRPr="002E7CCD">
              <w:rPr>
                <w:i/>
                <w:sz w:val="20"/>
                <w:szCs w:val="20"/>
                <w:lang w:val="en-US" w:eastAsia="en-US"/>
              </w:rPr>
              <w:t>Between Groups</w:t>
            </w:r>
          </w:p>
        </w:tc>
        <w:tc>
          <w:tcPr>
            <w:tcW w:w="0" w:type="auto"/>
            <w:shd w:val="clear" w:color="auto" w:fill="auto"/>
            <w:hideMark/>
          </w:tcPr>
          <w:p w:rsidR="004F399E" w:rsidRPr="002E7CCD" w:rsidRDefault="004F399E" w:rsidP="00AF357C">
            <w:pPr>
              <w:suppressAutoHyphens w:val="0"/>
              <w:rPr>
                <w:i/>
                <w:sz w:val="20"/>
                <w:szCs w:val="20"/>
                <w:lang w:val="en-US" w:eastAsia="en-US"/>
              </w:rPr>
            </w:pPr>
            <w:r w:rsidRPr="002E7CCD">
              <w:rPr>
                <w:i/>
                <w:sz w:val="20"/>
                <w:szCs w:val="20"/>
                <w:lang w:val="en-US" w:eastAsia="en-US"/>
              </w:rPr>
              <w:t>(Combined)</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1804.311</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22</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82.014</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1.960</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0.010</w:t>
            </w:r>
          </w:p>
        </w:tc>
      </w:tr>
      <w:tr w:rsidR="004F399E" w:rsidRPr="002E7CCD" w:rsidTr="00AF357C">
        <w:trPr>
          <w:trHeight w:val="266"/>
        </w:trPr>
        <w:tc>
          <w:tcPr>
            <w:tcW w:w="0" w:type="auto"/>
            <w:vMerge/>
            <w:shd w:val="clear" w:color="auto" w:fill="auto"/>
            <w:vAlign w:val="center"/>
            <w:hideMark/>
          </w:tcPr>
          <w:p w:rsidR="004F399E" w:rsidRPr="002E7CCD" w:rsidRDefault="004F399E" w:rsidP="00AF357C">
            <w:pPr>
              <w:suppressAutoHyphens w:val="0"/>
              <w:rPr>
                <w:sz w:val="20"/>
                <w:szCs w:val="20"/>
                <w:lang w:val="en-US" w:eastAsia="en-US"/>
              </w:rPr>
            </w:pPr>
          </w:p>
        </w:tc>
        <w:tc>
          <w:tcPr>
            <w:tcW w:w="0" w:type="auto"/>
            <w:vMerge/>
            <w:shd w:val="clear" w:color="auto" w:fill="auto"/>
            <w:vAlign w:val="center"/>
            <w:hideMark/>
          </w:tcPr>
          <w:p w:rsidR="004F399E" w:rsidRPr="002E7CCD" w:rsidRDefault="004F399E" w:rsidP="00AF357C">
            <w:pPr>
              <w:suppressAutoHyphens w:val="0"/>
              <w:rPr>
                <w:i/>
                <w:sz w:val="20"/>
                <w:szCs w:val="20"/>
                <w:lang w:val="en-US" w:eastAsia="en-US"/>
              </w:rPr>
            </w:pPr>
          </w:p>
        </w:tc>
        <w:tc>
          <w:tcPr>
            <w:tcW w:w="0" w:type="auto"/>
            <w:shd w:val="clear" w:color="auto" w:fill="auto"/>
            <w:hideMark/>
          </w:tcPr>
          <w:p w:rsidR="004F399E" w:rsidRPr="002E7CCD" w:rsidRDefault="004F399E" w:rsidP="00AF357C">
            <w:pPr>
              <w:suppressAutoHyphens w:val="0"/>
              <w:rPr>
                <w:i/>
                <w:sz w:val="20"/>
                <w:szCs w:val="20"/>
                <w:lang w:val="en-US" w:eastAsia="en-US"/>
              </w:rPr>
            </w:pPr>
            <w:r w:rsidRPr="002E7CCD">
              <w:rPr>
                <w:i/>
                <w:sz w:val="20"/>
                <w:szCs w:val="20"/>
                <w:lang w:val="en-US" w:eastAsia="en-US"/>
              </w:rPr>
              <w:t>Linearity</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564.541</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564.541</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13.488</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0.000</w:t>
            </w:r>
          </w:p>
        </w:tc>
      </w:tr>
      <w:tr w:rsidR="004F399E" w:rsidRPr="002E7CCD" w:rsidTr="00AF357C">
        <w:trPr>
          <w:trHeight w:val="266"/>
        </w:trPr>
        <w:tc>
          <w:tcPr>
            <w:tcW w:w="0" w:type="auto"/>
            <w:vMerge/>
            <w:shd w:val="clear" w:color="auto" w:fill="auto"/>
            <w:vAlign w:val="center"/>
            <w:hideMark/>
          </w:tcPr>
          <w:p w:rsidR="004F399E" w:rsidRPr="002E7CCD" w:rsidRDefault="004F399E" w:rsidP="00AF357C">
            <w:pPr>
              <w:suppressAutoHyphens w:val="0"/>
              <w:rPr>
                <w:sz w:val="20"/>
                <w:szCs w:val="20"/>
                <w:lang w:val="en-US" w:eastAsia="en-US"/>
              </w:rPr>
            </w:pPr>
          </w:p>
        </w:tc>
        <w:tc>
          <w:tcPr>
            <w:tcW w:w="0" w:type="auto"/>
            <w:vMerge/>
            <w:shd w:val="clear" w:color="auto" w:fill="auto"/>
            <w:vAlign w:val="center"/>
            <w:hideMark/>
          </w:tcPr>
          <w:p w:rsidR="004F399E" w:rsidRPr="002E7CCD" w:rsidRDefault="004F399E" w:rsidP="00AF357C">
            <w:pPr>
              <w:suppressAutoHyphens w:val="0"/>
              <w:rPr>
                <w:i/>
                <w:sz w:val="20"/>
                <w:szCs w:val="20"/>
                <w:lang w:val="en-US" w:eastAsia="en-US"/>
              </w:rPr>
            </w:pPr>
          </w:p>
        </w:tc>
        <w:tc>
          <w:tcPr>
            <w:tcW w:w="0" w:type="auto"/>
            <w:shd w:val="clear" w:color="auto" w:fill="auto"/>
            <w:hideMark/>
          </w:tcPr>
          <w:p w:rsidR="004F399E" w:rsidRPr="002E7CCD" w:rsidRDefault="004F399E" w:rsidP="00AF357C">
            <w:pPr>
              <w:suppressAutoHyphens w:val="0"/>
              <w:rPr>
                <w:i/>
                <w:sz w:val="20"/>
                <w:szCs w:val="20"/>
                <w:lang w:val="en-US" w:eastAsia="en-US"/>
              </w:rPr>
            </w:pPr>
            <w:r w:rsidRPr="002E7CCD">
              <w:rPr>
                <w:i/>
                <w:sz w:val="20"/>
                <w:szCs w:val="20"/>
                <w:lang w:val="en-US" w:eastAsia="en-US"/>
              </w:rPr>
              <w:t>Deviation from Linearity</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1239.770</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21</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59.037</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1.411</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0.123</w:t>
            </w:r>
          </w:p>
        </w:tc>
      </w:tr>
      <w:tr w:rsidR="004F399E" w:rsidRPr="002E7CCD" w:rsidTr="00AF357C">
        <w:trPr>
          <w:trHeight w:val="266"/>
        </w:trPr>
        <w:tc>
          <w:tcPr>
            <w:tcW w:w="0" w:type="auto"/>
            <w:vMerge/>
            <w:shd w:val="clear" w:color="auto" w:fill="auto"/>
            <w:vAlign w:val="center"/>
            <w:hideMark/>
          </w:tcPr>
          <w:p w:rsidR="004F399E" w:rsidRPr="002E7CCD" w:rsidRDefault="004F399E" w:rsidP="00AF357C">
            <w:pPr>
              <w:suppressAutoHyphens w:val="0"/>
              <w:rPr>
                <w:sz w:val="20"/>
                <w:szCs w:val="20"/>
                <w:lang w:val="en-US" w:eastAsia="en-US"/>
              </w:rPr>
            </w:pPr>
          </w:p>
        </w:tc>
        <w:tc>
          <w:tcPr>
            <w:tcW w:w="0" w:type="auto"/>
            <w:gridSpan w:val="2"/>
            <w:shd w:val="clear" w:color="auto" w:fill="auto"/>
            <w:hideMark/>
          </w:tcPr>
          <w:p w:rsidR="004F399E" w:rsidRPr="002E7CCD" w:rsidRDefault="004F399E" w:rsidP="00AF357C">
            <w:pPr>
              <w:suppressAutoHyphens w:val="0"/>
              <w:rPr>
                <w:i/>
                <w:sz w:val="20"/>
                <w:szCs w:val="20"/>
                <w:lang w:val="en-US" w:eastAsia="en-US"/>
              </w:rPr>
            </w:pPr>
            <w:r w:rsidRPr="002E7CCD">
              <w:rPr>
                <w:i/>
                <w:sz w:val="20"/>
                <w:szCs w:val="20"/>
                <w:lang w:val="en-US" w:eastAsia="en-US"/>
              </w:rPr>
              <w:t>Within Groups</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5817.689</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139</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41.854</w:t>
            </w:r>
          </w:p>
        </w:tc>
        <w:tc>
          <w:tcPr>
            <w:tcW w:w="0" w:type="auto"/>
            <w:shd w:val="clear" w:color="auto" w:fill="auto"/>
            <w:hideMark/>
          </w:tcPr>
          <w:p w:rsidR="004F399E" w:rsidRPr="002E7CCD" w:rsidRDefault="004F399E" w:rsidP="00AF357C">
            <w:pPr>
              <w:suppressAutoHyphens w:val="0"/>
              <w:rPr>
                <w:sz w:val="20"/>
                <w:szCs w:val="20"/>
                <w:lang w:val="en-US" w:eastAsia="en-US"/>
              </w:rPr>
            </w:pPr>
            <w:r w:rsidRPr="002E7CCD">
              <w:rPr>
                <w:sz w:val="20"/>
                <w:szCs w:val="20"/>
                <w:lang w:val="en-US" w:eastAsia="en-US"/>
              </w:rPr>
              <w:t> </w:t>
            </w:r>
          </w:p>
        </w:tc>
        <w:tc>
          <w:tcPr>
            <w:tcW w:w="0" w:type="auto"/>
            <w:shd w:val="clear" w:color="auto" w:fill="auto"/>
            <w:hideMark/>
          </w:tcPr>
          <w:p w:rsidR="004F399E" w:rsidRPr="002E7CCD" w:rsidRDefault="004F399E" w:rsidP="00AF357C">
            <w:pPr>
              <w:suppressAutoHyphens w:val="0"/>
              <w:rPr>
                <w:sz w:val="20"/>
                <w:szCs w:val="20"/>
                <w:lang w:val="en-US" w:eastAsia="en-US"/>
              </w:rPr>
            </w:pPr>
            <w:r w:rsidRPr="002E7CCD">
              <w:rPr>
                <w:sz w:val="20"/>
                <w:szCs w:val="20"/>
                <w:lang w:val="en-US" w:eastAsia="en-US"/>
              </w:rPr>
              <w:t> </w:t>
            </w:r>
          </w:p>
        </w:tc>
      </w:tr>
      <w:tr w:rsidR="004F399E" w:rsidRPr="002E7CCD" w:rsidTr="00AF357C">
        <w:trPr>
          <w:trHeight w:val="266"/>
        </w:trPr>
        <w:tc>
          <w:tcPr>
            <w:tcW w:w="0" w:type="auto"/>
            <w:vMerge/>
            <w:shd w:val="clear" w:color="auto" w:fill="auto"/>
            <w:vAlign w:val="center"/>
            <w:hideMark/>
          </w:tcPr>
          <w:p w:rsidR="004F399E" w:rsidRPr="002E7CCD" w:rsidRDefault="004F399E" w:rsidP="00AF357C">
            <w:pPr>
              <w:suppressAutoHyphens w:val="0"/>
              <w:rPr>
                <w:sz w:val="20"/>
                <w:szCs w:val="20"/>
                <w:lang w:val="en-US" w:eastAsia="en-US"/>
              </w:rPr>
            </w:pPr>
          </w:p>
        </w:tc>
        <w:tc>
          <w:tcPr>
            <w:tcW w:w="0" w:type="auto"/>
            <w:gridSpan w:val="2"/>
            <w:shd w:val="clear" w:color="auto" w:fill="auto"/>
            <w:hideMark/>
          </w:tcPr>
          <w:p w:rsidR="004F399E" w:rsidRPr="002E7CCD" w:rsidRDefault="004F399E" w:rsidP="00AF357C">
            <w:pPr>
              <w:suppressAutoHyphens w:val="0"/>
              <w:rPr>
                <w:i/>
                <w:sz w:val="20"/>
                <w:szCs w:val="20"/>
                <w:lang w:val="en-US" w:eastAsia="en-US"/>
              </w:rPr>
            </w:pPr>
            <w:r w:rsidRPr="002E7CCD">
              <w:rPr>
                <w:i/>
                <w:sz w:val="20"/>
                <w:szCs w:val="20"/>
                <w:lang w:val="en-US" w:eastAsia="en-US"/>
              </w:rPr>
              <w:t>Total</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7622.000</w:t>
            </w:r>
          </w:p>
        </w:tc>
        <w:tc>
          <w:tcPr>
            <w:tcW w:w="0" w:type="auto"/>
            <w:shd w:val="clear" w:color="auto" w:fill="auto"/>
            <w:noWrap/>
            <w:hideMark/>
          </w:tcPr>
          <w:p w:rsidR="004F399E" w:rsidRPr="002E7CCD" w:rsidRDefault="004F399E" w:rsidP="00AF357C">
            <w:pPr>
              <w:suppressAutoHyphens w:val="0"/>
              <w:jc w:val="right"/>
              <w:rPr>
                <w:sz w:val="20"/>
                <w:szCs w:val="20"/>
                <w:lang w:val="en-US" w:eastAsia="en-US"/>
              </w:rPr>
            </w:pPr>
            <w:r w:rsidRPr="002E7CCD">
              <w:rPr>
                <w:sz w:val="20"/>
                <w:szCs w:val="20"/>
                <w:lang w:val="en-US" w:eastAsia="en-US"/>
              </w:rPr>
              <w:t>161</w:t>
            </w:r>
          </w:p>
        </w:tc>
        <w:tc>
          <w:tcPr>
            <w:tcW w:w="0" w:type="auto"/>
            <w:shd w:val="clear" w:color="auto" w:fill="auto"/>
            <w:hideMark/>
          </w:tcPr>
          <w:p w:rsidR="004F399E" w:rsidRPr="002E7CCD" w:rsidRDefault="004F399E" w:rsidP="00AF357C">
            <w:pPr>
              <w:suppressAutoHyphens w:val="0"/>
              <w:rPr>
                <w:sz w:val="20"/>
                <w:szCs w:val="20"/>
                <w:lang w:val="en-US" w:eastAsia="en-US"/>
              </w:rPr>
            </w:pPr>
            <w:r w:rsidRPr="002E7CCD">
              <w:rPr>
                <w:sz w:val="20"/>
                <w:szCs w:val="20"/>
                <w:lang w:val="en-US" w:eastAsia="en-US"/>
              </w:rPr>
              <w:t> </w:t>
            </w:r>
          </w:p>
        </w:tc>
        <w:tc>
          <w:tcPr>
            <w:tcW w:w="0" w:type="auto"/>
            <w:shd w:val="clear" w:color="auto" w:fill="auto"/>
            <w:hideMark/>
          </w:tcPr>
          <w:p w:rsidR="004F399E" w:rsidRPr="002E7CCD" w:rsidRDefault="004F399E" w:rsidP="00AF357C">
            <w:pPr>
              <w:suppressAutoHyphens w:val="0"/>
              <w:rPr>
                <w:sz w:val="20"/>
                <w:szCs w:val="20"/>
                <w:lang w:val="en-US" w:eastAsia="en-US"/>
              </w:rPr>
            </w:pPr>
            <w:r w:rsidRPr="002E7CCD">
              <w:rPr>
                <w:sz w:val="20"/>
                <w:szCs w:val="20"/>
                <w:lang w:val="en-US" w:eastAsia="en-US"/>
              </w:rPr>
              <w:t> </w:t>
            </w:r>
          </w:p>
        </w:tc>
        <w:tc>
          <w:tcPr>
            <w:tcW w:w="0" w:type="auto"/>
            <w:shd w:val="clear" w:color="auto" w:fill="auto"/>
            <w:hideMark/>
          </w:tcPr>
          <w:p w:rsidR="004F399E" w:rsidRPr="002E7CCD" w:rsidRDefault="004F399E" w:rsidP="00AF357C">
            <w:pPr>
              <w:suppressAutoHyphens w:val="0"/>
              <w:rPr>
                <w:sz w:val="20"/>
                <w:szCs w:val="20"/>
                <w:lang w:val="en-US" w:eastAsia="en-US"/>
              </w:rPr>
            </w:pPr>
            <w:r w:rsidRPr="002E7CCD">
              <w:rPr>
                <w:sz w:val="20"/>
                <w:szCs w:val="20"/>
                <w:lang w:val="en-US" w:eastAsia="en-US"/>
              </w:rPr>
              <w:t> </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Uji Hipotesis</w:t>
      </w:r>
    </w:p>
    <w:p w:rsidR="004F399E" w:rsidRDefault="004F399E" w:rsidP="004F399E">
      <w:pPr>
        <w:pStyle w:val="ListParagraph"/>
        <w:rPr>
          <w:b/>
          <w:sz w:val="20"/>
          <w:szCs w:val="20"/>
          <w:lang w:val="en-US"/>
        </w:rPr>
      </w:pPr>
    </w:p>
    <w:tbl>
      <w:tblPr>
        <w:tblW w:w="0" w:type="auto"/>
        <w:tblInd w:w="108" w:type="dxa"/>
        <w:tblBorders>
          <w:insideH w:val="single" w:sz="4" w:space="0" w:color="auto"/>
        </w:tblBorders>
        <w:tblLook w:val="04A0" w:firstRow="1" w:lastRow="0" w:firstColumn="1" w:lastColumn="0" w:noHBand="0" w:noVBand="1"/>
      </w:tblPr>
      <w:tblGrid>
        <w:gridCol w:w="1476"/>
        <w:gridCol w:w="1977"/>
        <w:gridCol w:w="2089"/>
        <w:gridCol w:w="1977"/>
        <w:gridCol w:w="1389"/>
      </w:tblGrid>
      <w:tr w:rsidR="004F399E" w:rsidRPr="00675EC8" w:rsidTr="00AF357C">
        <w:trPr>
          <w:trHeight w:val="300"/>
        </w:trPr>
        <w:tc>
          <w:tcPr>
            <w:tcW w:w="0" w:type="auto"/>
            <w:gridSpan w:val="5"/>
            <w:shd w:val="clear" w:color="auto" w:fill="auto"/>
            <w:vAlign w:val="center"/>
            <w:hideMark/>
          </w:tcPr>
          <w:p w:rsidR="004F399E" w:rsidRPr="00675EC8" w:rsidRDefault="004F399E" w:rsidP="00AF357C">
            <w:pPr>
              <w:suppressAutoHyphens w:val="0"/>
              <w:jc w:val="center"/>
              <w:rPr>
                <w:b/>
                <w:bCs/>
                <w:i/>
                <w:sz w:val="20"/>
                <w:szCs w:val="20"/>
                <w:lang w:val="en-US" w:eastAsia="en-US"/>
              </w:rPr>
            </w:pPr>
            <w:r w:rsidRPr="00675EC8">
              <w:rPr>
                <w:b/>
                <w:bCs/>
                <w:i/>
                <w:sz w:val="20"/>
                <w:szCs w:val="20"/>
                <w:lang w:val="en-US" w:eastAsia="en-US"/>
              </w:rPr>
              <w:t>Correlations</w:t>
            </w:r>
          </w:p>
        </w:tc>
      </w:tr>
      <w:tr w:rsidR="004F399E" w:rsidRPr="00675EC8" w:rsidTr="00AF357C">
        <w:trPr>
          <w:trHeight w:val="975"/>
        </w:trPr>
        <w:tc>
          <w:tcPr>
            <w:tcW w:w="0" w:type="auto"/>
            <w:gridSpan w:val="3"/>
            <w:shd w:val="clear" w:color="auto" w:fill="auto"/>
            <w:vAlign w:val="bottom"/>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 </w:t>
            </w:r>
          </w:p>
        </w:tc>
        <w:tc>
          <w:tcPr>
            <w:tcW w:w="0" w:type="auto"/>
            <w:shd w:val="clear" w:color="auto" w:fill="auto"/>
            <w:vAlign w:val="bottom"/>
            <w:hideMark/>
          </w:tcPr>
          <w:p w:rsidR="004F399E" w:rsidRPr="00675EC8" w:rsidRDefault="004F399E" w:rsidP="00AF357C">
            <w:pPr>
              <w:suppressAutoHyphens w:val="0"/>
              <w:jc w:val="center"/>
              <w:rPr>
                <w:sz w:val="20"/>
                <w:szCs w:val="20"/>
                <w:lang w:val="en-US" w:eastAsia="en-US"/>
              </w:rPr>
            </w:pPr>
            <w:r w:rsidRPr="00675EC8">
              <w:rPr>
                <w:sz w:val="20"/>
                <w:szCs w:val="20"/>
                <w:lang w:val="en-US" w:eastAsia="en-US"/>
              </w:rPr>
              <w:t>Komitmen Organisasi</w:t>
            </w:r>
          </w:p>
        </w:tc>
        <w:tc>
          <w:tcPr>
            <w:tcW w:w="0" w:type="auto"/>
            <w:shd w:val="clear" w:color="auto" w:fill="auto"/>
            <w:vAlign w:val="bottom"/>
            <w:hideMark/>
          </w:tcPr>
          <w:p w:rsidR="004F399E" w:rsidRPr="00675EC8" w:rsidRDefault="004F399E" w:rsidP="00AF357C">
            <w:pPr>
              <w:suppressAutoHyphens w:val="0"/>
              <w:jc w:val="center"/>
              <w:rPr>
                <w:i/>
                <w:sz w:val="20"/>
                <w:szCs w:val="20"/>
                <w:lang w:val="en-US" w:eastAsia="en-US"/>
              </w:rPr>
            </w:pPr>
            <w:r w:rsidRPr="00675EC8">
              <w:rPr>
                <w:i/>
                <w:sz w:val="20"/>
                <w:szCs w:val="20"/>
                <w:lang w:val="en-US" w:eastAsia="en-US"/>
              </w:rPr>
              <w:t>Social Loafing</w:t>
            </w:r>
          </w:p>
        </w:tc>
      </w:tr>
      <w:tr w:rsidR="004F399E" w:rsidRPr="00675EC8" w:rsidTr="00AF357C">
        <w:trPr>
          <w:trHeight w:val="300"/>
        </w:trPr>
        <w:tc>
          <w:tcPr>
            <w:tcW w:w="0" w:type="auto"/>
            <w:vMerge w:val="restart"/>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Spearman's rho</w:t>
            </w:r>
          </w:p>
        </w:tc>
        <w:tc>
          <w:tcPr>
            <w:tcW w:w="0" w:type="auto"/>
            <w:vMerge w:val="restart"/>
            <w:shd w:val="clear" w:color="auto" w:fill="auto"/>
            <w:hideMark/>
          </w:tcPr>
          <w:p w:rsidR="004F399E" w:rsidRPr="00675EC8" w:rsidRDefault="004F399E" w:rsidP="00AF357C">
            <w:pPr>
              <w:suppressAutoHyphens w:val="0"/>
              <w:rPr>
                <w:sz w:val="20"/>
                <w:szCs w:val="20"/>
                <w:lang w:val="en-US" w:eastAsia="en-US"/>
              </w:rPr>
            </w:pPr>
            <w:r w:rsidRPr="00675EC8">
              <w:rPr>
                <w:sz w:val="20"/>
                <w:szCs w:val="20"/>
                <w:lang w:val="en-US" w:eastAsia="en-US"/>
              </w:rPr>
              <w:t>Komitmen Organisasi</w:t>
            </w:r>
          </w:p>
        </w:tc>
        <w:tc>
          <w:tcPr>
            <w:tcW w:w="0" w:type="auto"/>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Correlation Coefficient</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1.000</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-0.107</w:t>
            </w:r>
          </w:p>
        </w:tc>
      </w:tr>
      <w:tr w:rsidR="004F399E" w:rsidRPr="00675EC8" w:rsidTr="00AF357C">
        <w:trPr>
          <w:trHeight w:val="300"/>
        </w:trPr>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Sig. (2-tailed)</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 </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0.001</w:t>
            </w:r>
          </w:p>
        </w:tc>
      </w:tr>
      <w:tr w:rsidR="004F399E" w:rsidRPr="00675EC8" w:rsidTr="00AF357C">
        <w:trPr>
          <w:trHeight w:val="300"/>
        </w:trPr>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N</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162</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162</w:t>
            </w:r>
          </w:p>
        </w:tc>
      </w:tr>
      <w:tr w:rsidR="004F399E" w:rsidRPr="00675EC8" w:rsidTr="00AF357C">
        <w:trPr>
          <w:trHeight w:val="300"/>
        </w:trPr>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vMerge w:val="restart"/>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Social Loafing</w:t>
            </w:r>
          </w:p>
        </w:tc>
        <w:tc>
          <w:tcPr>
            <w:tcW w:w="0" w:type="auto"/>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Correlation Coefficient</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-0.107</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1.000</w:t>
            </w:r>
          </w:p>
        </w:tc>
      </w:tr>
      <w:tr w:rsidR="004F399E" w:rsidRPr="00675EC8" w:rsidTr="00AF357C">
        <w:trPr>
          <w:trHeight w:val="300"/>
        </w:trPr>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Sig. (2-tailed)</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0.001</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 </w:t>
            </w:r>
          </w:p>
        </w:tc>
      </w:tr>
      <w:tr w:rsidR="004F399E" w:rsidRPr="00675EC8" w:rsidTr="00AF357C">
        <w:trPr>
          <w:trHeight w:val="300"/>
        </w:trPr>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vMerge/>
            <w:shd w:val="clear" w:color="auto" w:fill="auto"/>
            <w:vAlign w:val="center"/>
            <w:hideMark/>
          </w:tcPr>
          <w:p w:rsidR="004F399E" w:rsidRPr="00675EC8" w:rsidRDefault="004F399E" w:rsidP="00AF357C">
            <w:pPr>
              <w:suppressAutoHyphens w:val="0"/>
              <w:rPr>
                <w:i/>
                <w:sz w:val="20"/>
                <w:szCs w:val="20"/>
                <w:lang w:val="en-US" w:eastAsia="en-US"/>
              </w:rPr>
            </w:pPr>
          </w:p>
        </w:tc>
        <w:tc>
          <w:tcPr>
            <w:tcW w:w="0" w:type="auto"/>
            <w:shd w:val="clear" w:color="auto" w:fill="auto"/>
            <w:hideMark/>
          </w:tcPr>
          <w:p w:rsidR="004F399E" w:rsidRPr="00675EC8" w:rsidRDefault="004F399E" w:rsidP="00AF357C">
            <w:pPr>
              <w:suppressAutoHyphens w:val="0"/>
              <w:rPr>
                <w:i/>
                <w:sz w:val="20"/>
                <w:szCs w:val="20"/>
                <w:lang w:val="en-US" w:eastAsia="en-US"/>
              </w:rPr>
            </w:pPr>
            <w:r w:rsidRPr="00675EC8">
              <w:rPr>
                <w:i/>
                <w:sz w:val="20"/>
                <w:szCs w:val="20"/>
                <w:lang w:val="en-US" w:eastAsia="en-US"/>
              </w:rPr>
              <w:t>N</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162</w:t>
            </w:r>
          </w:p>
        </w:tc>
        <w:tc>
          <w:tcPr>
            <w:tcW w:w="0" w:type="auto"/>
            <w:shd w:val="clear" w:color="auto" w:fill="auto"/>
            <w:noWrap/>
            <w:hideMark/>
          </w:tcPr>
          <w:p w:rsidR="004F399E" w:rsidRPr="00675EC8" w:rsidRDefault="004F399E" w:rsidP="00AF357C">
            <w:pPr>
              <w:suppressAutoHyphens w:val="0"/>
              <w:jc w:val="right"/>
              <w:rPr>
                <w:sz w:val="20"/>
                <w:szCs w:val="20"/>
                <w:lang w:val="en-US" w:eastAsia="en-US"/>
              </w:rPr>
            </w:pPr>
            <w:r w:rsidRPr="00675EC8">
              <w:rPr>
                <w:sz w:val="20"/>
                <w:szCs w:val="20"/>
                <w:lang w:val="en-US" w:eastAsia="en-US"/>
              </w:rPr>
              <w:t>162</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Pr>
        <w:widowControl w:val="0"/>
        <w:numPr>
          <w:ilvl w:val="0"/>
          <w:numId w:val="3"/>
        </w:numPr>
        <w:autoSpaceDE w:val="0"/>
        <w:autoSpaceDN w:val="0"/>
        <w:adjustRightInd w:val="0"/>
        <w:rPr>
          <w:b/>
          <w:sz w:val="20"/>
          <w:szCs w:val="20"/>
          <w:lang w:val="en-US"/>
        </w:rPr>
      </w:pPr>
      <w:r>
        <w:rPr>
          <w:b/>
          <w:sz w:val="20"/>
          <w:szCs w:val="20"/>
          <w:lang w:val="en-US"/>
        </w:rPr>
        <w:t>R Square</w:t>
      </w:r>
    </w:p>
    <w:tbl>
      <w:tblPr>
        <w:tblW w:w="0" w:type="auto"/>
        <w:tblInd w:w="1406" w:type="dxa"/>
        <w:tblBorders>
          <w:bottom w:val="single" w:sz="4" w:space="0" w:color="993366"/>
          <w:insideH w:val="single" w:sz="4" w:space="0" w:color="auto"/>
        </w:tblBorders>
        <w:tblLook w:val="04A0" w:firstRow="1" w:lastRow="0" w:firstColumn="1" w:lastColumn="0" w:noHBand="0" w:noVBand="1"/>
      </w:tblPr>
      <w:tblGrid>
        <w:gridCol w:w="739"/>
        <w:gridCol w:w="624"/>
        <w:gridCol w:w="955"/>
        <w:gridCol w:w="1727"/>
        <w:gridCol w:w="2266"/>
      </w:tblGrid>
      <w:tr w:rsidR="004F399E" w:rsidRPr="0067349A" w:rsidTr="00AF357C">
        <w:trPr>
          <w:trHeight w:val="300"/>
        </w:trPr>
        <w:tc>
          <w:tcPr>
            <w:tcW w:w="0" w:type="auto"/>
            <w:gridSpan w:val="5"/>
            <w:shd w:val="clear" w:color="auto" w:fill="auto"/>
            <w:vAlign w:val="center"/>
            <w:hideMark/>
          </w:tcPr>
          <w:p w:rsidR="004F399E" w:rsidRPr="0067349A" w:rsidRDefault="004F399E" w:rsidP="00AF357C">
            <w:pPr>
              <w:suppressAutoHyphens w:val="0"/>
              <w:jc w:val="center"/>
              <w:rPr>
                <w:b/>
                <w:bCs/>
                <w:sz w:val="20"/>
                <w:szCs w:val="20"/>
                <w:lang w:val="en-US" w:eastAsia="en-US"/>
              </w:rPr>
            </w:pPr>
            <w:r w:rsidRPr="0067349A">
              <w:rPr>
                <w:b/>
                <w:bCs/>
                <w:sz w:val="20"/>
                <w:szCs w:val="20"/>
                <w:lang w:val="en-US" w:eastAsia="en-US"/>
              </w:rPr>
              <w:t>Model Summary</w:t>
            </w:r>
          </w:p>
        </w:tc>
      </w:tr>
      <w:tr w:rsidR="004F399E" w:rsidRPr="0067349A" w:rsidTr="00AF357C">
        <w:trPr>
          <w:trHeight w:val="735"/>
        </w:trPr>
        <w:tc>
          <w:tcPr>
            <w:tcW w:w="0" w:type="auto"/>
            <w:shd w:val="clear" w:color="auto" w:fill="auto"/>
            <w:vAlign w:val="bottom"/>
            <w:hideMark/>
          </w:tcPr>
          <w:p w:rsidR="004F399E" w:rsidRPr="0067349A" w:rsidRDefault="004F399E" w:rsidP="00AF357C">
            <w:pPr>
              <w:suppressAutoHyphens w:val="0"/>
              <w:rPr>
                <w:sz w:val="20"/>
                <w:szCs w:val="20"/>
                <w:lang w:val="en-US" w:eastAsia="en-US"/>
              </w:rPr>
            </w:pPr>
            <w:r w:rsidRPr="0067349A">
              <w:rPr>
                <w:sz w:val="20"/>
                <w:szCs w:val="20"/>
                <w:lang w:val="en-US" w:eastAsia="en-US"/>
              </w:rPr>
              <w:t>Model</w:t>
            </w:r>
          </w:p>
        </w:tc>
        <w:tc>
          <w:tcPr>
            <w:tcW w:w="0" w:type="auto"/>
            <w:shd w:val="clear" w:color="auto" w:fill="auto"/>
            <w:vAlign w:val="bottom"/>
            <w:hideMark/>
          </w:tcPr>
          <w:p w:rsidR="004F399E" w:rsidRPr="0067349A" w:rsidRDefault="004F399E" w:rsidP="00AF357C">
            <w:pPr>
              <w:suppressAutoHyphens w:val="0"/>
              <w:jc w:val="center"/>
              <w:rPr>
                <w:sz w:val="20"/>
                <w:szCs w:val="20"/>
                <w:lang w:val="en-US" w:eastAsia="en-US"/>
              </w:rPr>
            </w:pPr>
            <w:r w:rsidRPr="0067349A">
              <w:rPr>
                <w:sz w:val="20"/>
                <w:szCs w:val="20"/>
                <w:lang w:val="en-US" w:eastAsia="en-US"/>
              </w:rPr>
              <w:t>R</w:t>
            </w:r>
          </w:p>
        </w:tc>
        <w:tc>
          <w:tcPr>
            <w:tcW w:w="0" w:type="auto"/>
            <w:shd w:val="clear" w:color="auto" w:fill="auto"/>
            <w:vAlign w:val="bottom"/>
            <w:hideMark/>
          </w:tcPr>
          <w:p w:rsidR="004F399E" w:rsidRPr="0067349A" w:rsidRDefault="004F399E" w:rsidP="00AF357C">
            <w:pPr>
              <w:suppressAutoHyphens w:val="0"/>
              <w:jc w:val="center"/>
              <w:rPr>
                <w:sz w:val="20"/>
                <w:szCs w:val="20"/>
                <w:lang w:val="en-US" w:eastAsia="en-US"/>
              </w:rPr>
            </w:pPr>
            <w:r w:rsidRPr="0067349A">
              <w:rPr>
                <w:sz w:val="20"/>
                <w:szCs w:val="20"/>
                <w:lang w:val="en-US" w:eastAsia="en-US"/>
              </w:rPr>
              <w:t>R Square</w:t>
            </w:r>
          </w:p>
        </w:tc>
        <w:tc>
          <w:tcPr>
            <w:tcW w:w="0" w:type="auto"/>
            <w:shd w:val="clear" w:color="auto" w:fill="auto"/>
            <w:vAlign w:val="bottom"/>
            <w:hideMark/>
          </w:tcPr>
          <w:p w:rsidR="004F399E" w:rsidRPr="0067349A" w:rsidRDefault="004F399E" w:rsidP="00AF357C">
            <w:pPr>
              <w:suppressAutoHyphens w:val="0"/>
              <w:jc w:val="center"/>
              <w:rPr>
                <w:sz w:val="20"/>
                <w:szCs w:val="20"/>
                <w:lang w:val="en-US" w:eastAsia="en-US"/>
              </w:rPr>
            </w:pPr>
            <w:r w:rsidRPr="0067349A">
              <w:rPr>
                <w:sz w:val="20"/>
                <w:szCs w:val="20"/>
                <w:lang w:val="en-US" w:eastAsia="en-US"/>
              </w:rPr>
              <w:t>Adjusted R Square</w:t>
            </w:r>
          </w:p>
        </w:tc>
        <w:tc>
          <w:tcPr>
            <w:tcW w:w="0" w:type="auto"/>
            <w:shd w:val="clear" w:color="auto" w:fill="auto"/>
            <w:vAlign w:val="bottom"/>
            <w:hideMark/>
          </w:tcPr>
          <w:p w:rsidR="004F399E" w:rsidRPr="0067349A" w:rsidRDefault="004F399E" w:rsidP="00AF357C">
            <w:pPr>
              <w:suppressAutoHyphens w:val="0"/>
              <w:jc w:val="center"/>
              <w:rPr>
                <w:sz w:val="20"/>
                <w:szCs w:val="20"/>
                <w:lang w:val="en-US" w:eastAsia="en-US"/>
              </w:rPr>
            </w:pPr>
            <w:r w:rsidRPr="0067349A">
              <w:rPr>
                <w:sz w:val="20"/>
                <w:szCs w:val="20"/>
                <w:lang w:val="en-US" w:eastAsia="en-US"/>
              </w:rPr>
              <w:t>Std. Error of the Estimate</w:t>
            </w:r>
          </w:p>
        </w:tc>
      </w:tr>
      <w:tr w:rsidR="004F399E" w:rsidRPr="0067349A" w:rsidTr="00AF357C">
        <w:trPr>
          <w:trHeight w:val="300"/>
        </w:trPr>
        <w:tc>
          <w:tcPr>
            <w:tcW w:w="0" w:type="auto"/>
            <w:shd w:val="clear" w:color="auto" w:fill="auto"/>
            <w:noWrap/>
            <w:hideMark/>
          </w:tcPr>
          <w:p w:rsidR="004F399E" w:rsidRPr="0067349A" w:rsidRDefault="004F399E" w:rsidP="00AF357C">
            <w:pPr>
              <w:suppressAutoHyphens w:val="0"/>
              <w:rPr>
                <w:sz w:val="20"/>
                <w:szCs w:val="20"/>
                <w:lang w:val="en-US" w:eastAsia="en-US"/>
              </w:rPr>
            </w:pPr>
            <w:r w:rsidRPr="0067349A">
              <w:rPr>
                <w:sz w:val="20"/>
                <w:szCs w:val="20"/>
                <w:lang w:val="en-US" w:eastAsia="en-US"/>
              </w:rPr>
              <w:t>1</w:t>
            </w:r>
          </w:p>
        </w:tc>
        <w:tc>
          <w:tcPr>
            <w:tcW w:w="0" w:type="auto"/>
            <w:shd w:val="clear" w:color="auto" w:fill="auto"/>
            <w:noWrap/>
            <w:hideMark/>
          </w:tcPr>
          <w:p w:rsidR="004F399E" w:rsidRPr="0067349A" w:rsidRDefault="004F399E" w:rsidP="00AF357C">
            <w:pPr>
              <w:suppressAutoHyphens w:val="0"/>
              <w:jc w:val="right"/>
              <w:rPr>
                <w:sz w:val="20"/>
                <w:szCs w:val="20"/>
                <w:lang w:val="en-US" w:eastAsia="en-US"/>
              </w:rPr>
            </w:pPr>
            <w:r w:rsidRPr="0067349A">
              <w:rPr>
                <w:sz w:val="20"/>
                <w:szCs w:val="20"/>
                <w:lang w:val="en-US" w:eastAsia="en-US"/>
              </w:rPr>
              <w:t>.272</w:t>
            </w:r>
            <w:r w:rsidRPr="0067349A">
              <w:rPr>
                <w:sz w:val="20"/>
                <w:szCs w:val="20"/>
                <w:vertAlign w:val="superscript"/>
                <w:lang w:val="en-US" w:eastAsia="en-US"/>
              </w:rPr>
              <w:t>a</w:t>
            </w:r>
          </w:p>
        </w:tc>
        <w:tc>
          <w:tcPr>
            <w:tcW w:w="0" w:type="auto"/>
            <w:shd w:val="clear" w:color="auto" w:fill="auto"/>
            <w:noWrap/>
            <w:hideMark/>
          </w:tcPr>
          <w:p w:rsidR="004F399E" w:rsidRPr="0067349A" w:rsidRDefault="004F399E" w:rsidP="00AF357C">
            <w:pPr>
              <w:suppressAutoHyphens w:val="0"/>
              <w:jc w:val="right"/>
              <w:rPr>
                <w:sz w:val="20"/>
                <w:szCs w:val="20"/>
                <w:lang w:val="en-US" w:eastAsia="en-US"/>
              </w:rPr>
            </w:pPr>
            <w:r w:rsidRPr="0067349A">
              <w:rPr>
                <w:sz w:val="20"/>
                <w:szCs w:val="20"/>
                <w:lang w:val="en-US" w:eastAsia="en-US"/>
              </w:rPr>
              <w:t>0.074</w:t>
            </w:r>
          </w:p>
        </w:tc>
        <w:tc>
          <w:tcPr>
            <w:tcW w:w="0" w:type="auto"/>
            <w:shd w:val="clear" w:color="auto" w:fill="auto"/>
            <w:noWrap/>
            <w:hideMark/>
          </w:tcPr>
          <w:p w:rsidR="004F399E" w:rsidRPr="0067349A" w:rsidRDefault="004F399E" w:rsidP="00AF357C">
            <w:pPr>
              <w:suppressAutoHyphens w:val="0"/>
              <w:jc w:val="right"/>
              <w:rPr>
                <w:sz w:val="20"/>
                <w:szCs w:val="20"/>
                <w:lang w:val="en-US" w:eastAsia="en-US"/>
              </w:rPr>
            </w:pPr>
            <w:r w:rsidRPr="0067349A">
              <w:rPr>
                <w:sz w:val="20"/>
                <w:szCs w:val="20"/>
                <w:lang w:val="en-US" w:eastAsia="en-US"/>
              </w:rPr>
              <w:t>0.068</w:t>
            </w:r>
          </w:p>
        </w:tc>
        <w:tc>
          <w:tcPr>
            <w:tcW w:w="0" w:type="auto"/>
            <w:shd w:val="clear" w:color="auto" w:fill="auto"/>
            <w:noWrap/>
            <w:hideMark/>
          </w:tcPr>
          <w:p w:rsidR="004F399E" w:rsidRPr="0067349A" w:rsidRDefault="004F399E" w:rsidP="00AF357C">
            <w:pPr>
              <w:suppressAutoHyphens w:val="0"/>
              <w:jc w:val="right"/>
              <w:rPr>
                <w:sz w:val="20"/>
                <w:szCs w:val="20"/>
                <w:lang w:val="en-US" w:eastAsia="en-US"/>
              </w:rPr>
            </w:pPr>
            <w:r w:rsidRPr="0067349A">
              <w:rPr>
                <w:sz w:val="20"/>
                <w:szCs w:val="20"/>
                <w:lang w:val="en-US" w:eastAsia="en-US"/>
              </w:rPr>
              <w:t>6.641</w:t>
            </w:r>
          </w:p>
        </w:tc>
      </w:tr>
    </w:tbl>
    <w:p w:rsidR="004F399E" w:rsidRDefault="004F399E" w:rsidP="004F399E">
      <w:pPr>
        <w:widowControl w:val="0"/>
        <w:autoSpaceDE w:val="0"/>
        <w:autoSpaceDN w:val="0"/>
        <w:adjustRightInd w:val="0"/>
        <w:ind w:left="1080"/>
        <w:rPr>
          <w:b/>
          <w:sz w:val="20"/>
          <w:szCs w:val="20"/>
          <w:lang w:val="en-US"/>
        </w:rPr>
      </w:pPr>
    </w:p>
    <w:p w:rsidR="004F399E" w:rsidRDefault="004F399E" w:rsidP="004F399E"/>
    <w:p w:rsidR="004F399E" w:rsidRPr="00F13335" w:rsidRDefault="004F399E" w:rsidP="004F399E">
      <w:pPr>
        <w:widowControl w:val="0"/>
        <w:autoSpaceDE w:val="0"/>
        <w:autoSpaceDN w:val="0"/>
        <w:adjustRightInd w:val="0"/>
        <w:ind w:left="1080"/>
        <w:rPr>
          <w:b/>
          <w:sz w:val="20"/>
          <w:szCs w:val="20"/>
          <w:lang w:val="en-US"/>
        </w:rPr>
      </w:pPr>
    </w:p>
    <w:p w:rsidR="0049215E" w:rsidRDefault="0049215E">
      <w:bookmarkStart w:id="0" w:name="_GoBack"/>
      <w:bookmarkEnd w:id="0"/>
    </w:p>
    <w:sectPr w:rsidR="0049215E" w:rsidSect="004F399E">
      <w:headerReference w:type="even" r:id="rId5"/>
      <w:headerReference w:type="default" r:id="rId6"/>
      <w:footerReference w:type="even" r:id="rId7"/>
      <w:footerReference w:type="default" r:id="rId8"/>
      <w:headerReference w:type="first" r:id="rId9"/>
      <w:pgSz w:w="11906" w:h="16838"/>
      <w:pgMar w:top="1701" w:right="1134" w:bottom="1701" w:left="1412" w:header="1134" w:footer="680" w:gutter="0"/>
      <w:cols w:space="28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4C3" w:rsidRPr="006404C3" w:rsidRDefault="004F399E" w:rsidP="006404C3">
    <w:pPr>
      <w:pStyle w:val="Footer"/>
      <w:tabs>
        <w:tab w:val="clear" w:pos="4680"/>
        <w:tab w:val="clear" w:pos="9360"/>
        <w:tab w:val="left" w:pos="2565"/>
      </w:tabs>
      <w:jc w:val="center"/>
      <w:rPr>
        <w:rFonts w:ascii="Palatino Linotype" w:hAnsi="Palatino Linotype"/>
        <w:sz w:val="14"/>
      </w:rPr>
    </w:pPr>
    <w:r w:rsidRPr="006404C3">
      <w:rPr>
        <w:rFonts w:ascii="Palatino Linotype" w:hAnsi="Palatino Linotype"/>
        <w:sz w:val="14"/>
      </w:rPr>
      <w:t xml:space="preserve">Copyright © </w:t>
    </w:r>
    <w:r w:rsidRPr="006404C3">
      <w:rPr>
        <w:rFonts w:ascii="Palatino Linotype" w:hAnsi="Palatino Linotype"/>
        <w:sz w:val="14"/>
      </w:rPr>
      <w:t>Universitas Muhammadiyah Sidoarjo. This is an open-access article distributed under the terms of the Creative Commons Attribution License (CC BY). The use, distribution or reproduction in other forums is permitted, provided the original author(s) and the c</w:t>
    </w:r>
    <w:r w:rsidRPr="006404C3">
      <w:rPr>
        <w:rFonts w:ascii="Palatino Linotype" w:hAnsi="Palatino Linotype"/>
        <w:sz w:val="14"/>
      </w:rPr>
      <w:t>opyright owner(s) are credited and that the original publication in this journal is cited, in accordance with accepted academic practice. No use, distribution or reproduction is permitted which does not comply with these terms.</w:t>
    </w:r>
  </w:p>
  <w:p w:rsidR="00514318" w:rsidRPr="00AC25E6" w:rsidRDefault="004F399E" w:rsidP="00142F8C">
    <w:pPr>
      <w:pStyle w:val="JSKReferenceItem"/>
      <w:numPr>
        <w:ilvl w:val="0"/>
        <w:numId w:val="0"/>
      </w:numPr>
      <w:ind w:left="432" w:hanging="432"/>
      <w:rPr>
        <w:sz w:val="14"/>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4C3" w:rsidRPr="006404C3" w:rsidRDefault="004F399E" w:rsidP="006404C3">
    <w:pPr>
      <w:pStyle w:val="Footer"/>
      <w:tabs>
        <w:tab w:val="clear" w:pos="4680"/>
        <w:tab w:val="clear" w:pos="9360"/>
        <w:tab w:val="left" w:pos="2565"/>
      </w:tabs>
      <w:jc w:val="center"/>
      <w:rPr>
        <w:rFonts w:ascii="Palatino Linotype" w:hAnsi="Palatino Linotype"/>
        <w:sz w:val="14"/>
      </w:rPr>
    </w:pPr>
    <w:r w:rsidRPr="006404C3">
      <w:rPr>
        <w:rFonts w:ascii="Palatino Linotype" w:hAnsi="Palatino Linotype"/>
        <w:sz w:val="14"/>
      </w:rPr>
      <w:t>Copyright © Universitas Mu</w:t>
    </w:r>
    <w:r w:rsidRPr="006404C3">
      <w:rPr>
        <w:rFonts w:ascii="Palatino Linotype" w:hAnsi="Palatino Linotype"/>
        <w:sz w:val="14"/>
      </w:rPr>
      <w:t>hammadiyah Sidoarjo. This is an open-access article distributed under the terms of the Creative Commons Attribution License (CC BY). The use, distribution or reproduction in other forums is permitted, provided the original author(s) and the copyright owner</w:t>
    </w:r>
    <w:r w:rsidRPr="006404C3">
      <w:rPr>
        <w:rFonts w:ascii="Palatino Linotype" w:hAnsi="Palatino Linotype"/>
        <w:sz w:val="14"/>
      </w:rPr>
      <w:t>(s) are credited and that the original publication in this journal is cited, in accordance with accepted academic practice. No use, distribution or reproduction is permitted which does not comply with these terms.</w:t>
    </w:r>
  </w:p>
  <w:p w:rsidR="00514318" w:rsidRPr="0083285D" w:rsidRDefault="004F399E" w:rsidP="00AB5283">
    <w:pPr>
      <w:pStyle w:val="JSKReferenceItem"/>
      <w:numPr>
        <w:ilvl w:val="0"/>
        <w:numId w:val="0"/>
      </w:numPr>
      <w:tabs>
        <w:tab w:val="left" w:pos="8931"/>
      </w:tabs>
      <w:ind w:left="432"/>
      <w:jc w:val="center"/>
      <w:rPr>
        <w:sz w:val="14"/>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318" w:rsidRPr="008302AD" w:rsidRDefault="004F399E" w:rsidP="00F93AEF">
    <w:pPr>
      <w:pStyle w:val="Header"/>
      <w:pBdr>
        <w:bottom w:val="single" w:sz="4" w:space="1" w:color="D9D9D9"/>
      </w:pBdr>
      <w:rPr>
        <w:rFonts w:ascii="Calibri" w:hAnsi="Calibri" w:cs="Calibri"/>
        <w:b/>
        <w:bCs/>
      </w:rPr>
    </w:pPr>
    <w:r>
      <w:fldChar w:fldCharType="begin"/>
    </w:r>
    <w:r>
      <w:instrText xml:space="preserve"> PAGE   \* MERGEFORMAT </w:instrText>
    </w:r>
    <w:r>
      <w:fldChar w:fldCharType="separate"/>
    </w:r>
    <w:r w:rsidRPr="00D17D0C">
      <w:rPr>
        <w:b/>
        <w:bCs/>
        <w:noProof/>
      </w:rPr>
      <w:t>28</w:t>
    </w:r>
    <w:r>
      <w:rPr>
        <w:b/>
        <w:bCs/>
        <w:noProof/>
      </w:rPr>
      <w:fldChar w:fldCharType="end"/>
    </w:r>
    <w:r>
      <w:rPr>
        <w:b/>
        <w:bCs/>
      </w:rPr>
      <w:t xml:space="preserve"> | </w:t>
    </w:r>
    <w:r w:rsidRPr="008302AD">
      <w:rPr>
        <w:rFonts w:ascii="Calibri" w:hAnsi="Calibri" w:cs="Calibr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318" w:rsidRDefault="004F399E"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4F399E">
      <w:rPr>
        <w:b/>
        <w:bCs/>
        <w:noProof/>
      </w:rPr>
      <w:t>1</w:t>
    </w:r>
    <w:r>
      <w:rPr>
        <w:b/>
        <w:bCs/>
        <w:noProof/>
      </w:rPr>
      <w:fldChar w:fldCharType="end"/>
    </w:r>
  </w:p>
  <w:p w:rsidR="00514318" w:rsidRDefault="004F39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318" w:rsidRPr="00DA01B7" w:rsidRDefault="004F399E"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6B6ED7">
      <w:rPr>
        <w:b/>
        <w:bCs/>
        <w:noProof/>
      </w:rPr>
      <w:t>1</w:t>
    </w:r>
    <w:r>
      <w:rPr>
        <w:b/>
        <w:bCs/>
        <w:noProof/>
      </w:rPr>
      <w:fldChar w:fldCharType="end"/>
    </w:r>
  </w:p>
  <w:p w:rsidR="00514318" w:rsidRDefault="004F399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19"/>
    <w:lvl w:ilvl="0">
      <w:start w:val="1"/>
      <w:numFmt w:val="decimal"/>
      <w:pStyle w:val="TableHeading"/>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15:restartNumberingAfterBreak="0">
    <w:nsid w:val="4F193C1B"/>
    <w:multiLevelType w:val="hybridMultilevel"/>
    <w:tmpl w:val="7206CE9C"/>
    <w:lvl w:ilvl="0" w:tplc="D7267F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766BEF"/>
    <w:multiLevelType w:val="hybridMultilevel"/>
    <w:tmpl w:val="C6F0915E"/>
    <w:lvl w:ilvl="0" w:tplc="34A0244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99E"/>
    <w:rsid w:val="0049215E"/>
    <w:rsid w:val="004F3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59D37-6400-4B68-AF9A-578A231E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99E"/>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4F399E"/>
    <w:pPr>
      <w:numPr>
        <w:numId w:val="1"/>
      </w:numPr>
      <w:suppressLineNumbers/>
      <w:tabs>
        <w:tab w:val="clear" w:pos="432"/>
      </w:tabs>
      <w:ind w:left="0" w:firstLine="0"/>
      <w:jc w:val="center"/>
    </w:pPr>
    <w:rPr>
      <w:b/>
      <w:bCs/>
    </w:rPr>
  </w:style>
  <w:style w:type="paragraph" w:customStyle="1" w:styleId="JSKReferenceItem">
    <w:name w:val="JSK Reference Item"/>
    <w:basedOn w:val="Normal"/>
    <w:rsid w:val="004F399E"/>
    <w:pPr>
      <w:numPr>
        <w:numId w:val="2"/>
      </w:numPr>
      <w:snapToGrid w:val="0"/>
      <w:jc w:val="both"/>
    </w:pPr>
    <w:rPr>
      <w:sz w:val="16"/>
    </w:rPr>
  </w:style>
  <w:style w:type="paragraph" w:styleId="Header">
    <w:name w:val="header"/>
    <w:basedOn w:val="Normal"/>
    <w:link w:val="HeaderChar"/>
    <w:uiPriority w:val="99"/>
    <w:unhideWhenUsed/>
    <w:rsid w:val="004F399E"/>
    <w:pPr>
      <w:tabs>
        <w:tab w:val="center" w:pos="4680"/>
        <w:tab w:val="right" w:pos="9360"/>
      </w:tabs>
    </w:pPr>
  </w:style>
  <w:style w:type="character" w:customStyle="1" w:styleId="HeaderChar">
    <w:name w:val="Header Char"/>
    <w:basedOn w:val="DefaultParagraphFont"/>
    <w:link w:val="Header"/>
    <w:uiPriority w:val="99"/>
    <w:rsid w:val="004F399E"/>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4F399E"/>
    <w:pPr>
      <w:tabs>
        <w:tab w:val="center" w:pos="4680"/>
        <w:tab w:val="right" w:pos="9360"/>
      </w:tabs>
    </w:pPr>
  </w:style>
  <w:style w:type="character" w:customStyle="1" w:styleId="FooterChar">
    <w:name w:val="Footer Char"/>
    <w:basedOn w:val="DefaultParagraphFont"/>
    <w:link w:val="Footer"/>
    <w:uiPriority w:val="99"/>
    <w:rsid w:val="004F399E"/>
    <w:rPr>
      <w:rFonts w:ascii="Times New Roman" w:eastAsia="Times New Roman" w:hAnsi="Times New Roman" w:cs="Times New Roman"/>
      <w:sz w:val="24"/>
      <w:szCs w:val="24"/>
      <w:lang w:val="id-ID" w:eastAsia="zh-CN"/>
    </w:rPr>
  </w:style>
  <w:style w:type="paragraph" w:styleId="ListParagraph">
    <w:name w:val="List Paragraph"/>
    <w:aliases w:val="spasi 2 taiiii,Dot pt,F5 List Paragraph,List Paragraph Char Char Char,Indicator Text,Numbered Para 1,Bullet 1,List Paragraph12,Bullet Points,MAIN CONTENT,List Paragraph1,Normal ind,Bullet point,Recommendation,Header Char1,skripsi,ANNEX,P"/>
    <w:basedOn w:val="Normal"/>
    <w:link w:val="ListParagraphChar"/>
    <w:uiPriority w:val="34"/>
    <w:qFormat/>
    <w:rsid w:val="004F399E"/>
    <w:pPr>
      <w:ind w:left="720"/>
      <w:contextualSpacing/>
    </w:pPr>
  </w:style>
  <w:style w:type="character" w:customStyle="1" w:styleId="ListParagraphChar">
    <w:name w:val="List Paragraph Char"/>
    <w:aliases w:val="spasi 2 taiiii Char,Dot pt Char,F5 List Paragraph Char,List Paragraph Char Char Char Char,Indicator Text Char,Numbered Para 1 Char,Bullet 1 Char,List Paragraph12 Char,Bullet Points Char,MAIN CONTENT Char,List Paragraph1 Char,P Char"/>
    <w:link w:val="ListParagraph"/>
    <w:uiPriority w:val="34"/>
    <w:qFormat/>
    <w:locked/>
    <w:rsid w:val="004F399E"/>
    <w:rPr>
      <w:rFonts w:ascii="Times New Roman" w:eastAsia="Times New Roman" w:hAnsi="Times New Roman" w:cs="Times New Roman"/>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AILOBBEU</dc:creator>
  <cp:keywords/>
  <dc:description/>
  <cp:lastModifiedBy>AILOBBEU</cp:lastModifiedBy>
  <cp:revision>1</cp:revision>
  <dcterms:created xsi:type="dcterms:W3CDTF">2024-05-15T15:55:00Z</dcterms:created>
  <dcterms:modified xsi:type="dcterms:W3CDTF">2024-05-15T15:56:00Z</dcterms:modified>
</cp:coreProperties>
</file>